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1323468504"/>
        <w:placeholder>
          <w:docPart w:val="F4AAD48BC63E4E6CA1FDFBF63F624C13"/>
        </w:placeholder>
        <w:text w:multiLine="1"/>
      </w:sdtPr>
      <w:sdtEndPr/>
      <w:sdtContent>
        <w:p w14:paraId="0461ED8D" w14:textId="440605CF" w:rsidR="009B6F95" w:rsidRPr="00C803F3" w:rsidRDefault="00450D35" w:rsidP="00056BC3">
          <w:pPr>
            <w:pStyle w:val="Title1"/>
            <w:ind w:left="0" w:firstLine="0"/>
          </w:pPr>
          <w:r>
            <w:t>L</w:t>
          </w:r>
          <w:r w:rsidR="00E838D7">
            <w:t xml:space="preserve">evelling Up </w:t>
          </w:r>
          <w:r w:rsidR="00F05296">
            <w:t xml:space="preserve">the United Kingdom: </w:t>
          </w:r>
          <w:r w:rsidR="00E838D7">
            <w:t xml:space="preserve">White paper </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b w:val="0"/>
          <w:bCs/>
        </w:rPr>
      </w:sdtEndPr>
      <w:sdtContent>
        <w:p w14:paraId="308CC1A0" w14:textId="77777777" w:rsidR="00F802C6" w:rsidRDefault="009B6F95" w:rsidP="00056BC3">
          <w:pPr>
            <w:rPr>
              <w:rStyle w:val="Style6"/>
            </w:rPr>
          </w:pPr>
          <w:r w:rsidRPr="00C803F3">
            <w:rPr>
              <w:rStyle w:val="Style6"/>
            </w:rPr>
            <w:t>Purpose of report</w:t>
          </w:r>
        </w:p>
        <w:p w14:paraId="0E665F71" w14:textId="6DD37DE1" w:rsidR="009B6F95" w:rsidRPr="00F802C6" w:rsidRDefault="00F802C6" w:rsidP="00056BC3">
          <w:pPr>
            <w:rPr>
              <w:b/>
              <w:bCs/>
            </w:rPr>
          </w:pPr>
          <w:r w:rsidRPr="00F802C6">
            <w:rPr>
              <w:rStyle w:val="Style6"/>
              <w:b w:val="0"/>
              <w:bCs/>
            </w:rPr>
            <w:t>For discussion and direction</w:t>
          </w:r>
          <w:r>
            <w:rPr>
              <w:rStyle w:val="Style6"/>
              <w:b w:val="0"/>
              <w:bCs/>
            </w:rPr>
            <w:t>.</w:t>
          </w:r>
        </w:p>
      </w:sdtContent>
    </w:sdt>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3F450C5F" w14:textId="77777777" w:rsidR="00F802C6" w:rsidRPr="00A627DD" w:rsidRDefault="00F802C6" w:rsidP="00F802C6">
      <w:pPr>
        <w:ind w:left="0" w:firstLine="0"/>
      </w:pPr>
      <w:r>
        <w:t xml:space="preserve">The Government has published the white paper on levelling up, outlining how it intends to deliver on its flagship policy. The white paper also includes additional detail on the UK Shared Prosperity Fund, which is designed to replace EU funding streams. </w:t>
      </w:r>
    </w:p>
    <w:p w14:paraId="56F85E7E" w14:textId="77777777" w:rsidR="00F802C6" w:rsidRDefault="00F802C6" w:rsidP="00F802C6">
      <w:pPr>
        <w:ind w:left="0" w:firstLine="0"/>
      </w:pPr>
      <w:r>
        <w:t xml:space="preserve">This paper identifies the key elements of the paper relating to culture, tourism and sport, and seeks the Board’s views on priority engagement and lobbying issues on levelling up. It also seeks to test initial LGA narratives around levelling up with the Board. </w:t>
      </w:r>
    </w:p>
    <w:p w14:paraId="1D3BEEFC" w14:textId="0B1C3ED3" w:rsidR="007A2B0A" w:rsidRDefault="00F802C6" w:rsidP="009759D1">
      <w:pPr>
        <w:ind w:left="0" w:firstLine="0"/>
      </w:pPr>
      <w:r>
        <w:t>Two DCMS colleagues will be in attendance to share the department’s current thinking and explore any opportunities for joint work to strengthen and further embed the role of culture, tourism and sport in the levelling up agenda and across government departments.</w:t>
      </w:r>
      <w:r w:rsidR="00165A19">
        <w:t xml:space="preserve"> Elisabeth Bouchard is Strategy Lead for Culture, Tourism and Civil Society</w:t>
      </w:r>
      <w:r w:rsidR="001B770C">
        <w:t xml:space="preserve">, and Harman Saggar is Head Economist for Arts, Heritage and Tourism. </w:t>
      </w:r>
    </w:p>
    <w:p w14:paraId="7882E06B" w14:textId="2843B7F0" w:rsidR="00AB0894" w:rsidRDefault="00793361" w:rsidP="00056BC3">
      <w:pPr>
        <w:pStyle w:val="Title3"/>
      </w:pPr>
      <w:r>
        <w:rPr>
          <w:rStyle w:val="normaltextrun"/>
          <w:rFonts w:cs="Arial"/>
          <w:color w:val="000000"/>
          <w:shd w:val="clear" w:color="auto" w:fill="FFFFFF"/>
        </w:rPr>
        <w:t xml:space="preserve">Is this report confidential? </w:t>
      </w:r>
      <w:r w:rsidRPr="009759D1">
        <w:rPr>
          <w:rStyle w:val="normaltextrun"/>
          <w:rFonts w:cs="Arial"/>
          <w:color w:val="000000"/>
          <w:shd w:val="clear" w:color="auto" w:fill="FFFFFF"/>
        </w:rPr>
        <w:t>Yes </w:t>
      </w:r>
      <w:r w:rsidRPr="009759D1">
        <w:rPr>
          <w:rStyle w:val="normaltextrun"/>
          <w:rFonts w:ascii="MS Gothic" w:eastAsia="MS Gothic" w:hAnsi="MS Gothic" w:cs="Segoe UI" w:hint="eastAsia"/>
          <w:color w:val="000000"/>
          <w:shd w:val="clear" w:color="auto" w:fill="FFFFFF"/>
        </w:rPr>
        <w:t>☐</w:t>
      </w:r>
      <w:r w:rsidRPr="009759D1">
        <w:rPr>
          <w:rStyle w:val="tabchar"/>
          <w:rFonts w:ascii="Calibri" w:hAnsi="Calibri" w:cs="Calibri"/>
          <w:color w:val="000000"/>
          <w:shd w:val="clear" w:color="auto" w:fill="FFFFFF"/>
        </w:rPr>
        <w:t xml:space="preserve"> </w:t>
      </w:r>
      <w:r w:rsidRPr="009759D1">
        <w:rPr>
          <w:rStyle w:val="normaltextrun"/>
          <w:rFonts w:cs="Arial"/>
          <w:color w:val="000000"/>
          <w:shd w:val="clear" w:color="auto" w:fill="FFFFFF"/>
        </w:rPr>
        <w:t>No </w:t>
      </w:r>
      <w:r w:rsidRPr="009759D1">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p w14:paraId="6BBBFA18" w14:textId="77777777" w:rsidR="009B6F95" w:rsidRDefault="00C803F3" w:rsidP="00056BC3">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13C2AC66">
                <wp:simplePos x="0" y="0"/>
                <wp:positionH relativeFrom="margin">
                  <wp:align>right</wp:align>
                </wp:positionH>
                <wp:positionV relativeFrom="paragraph">
                  <wp:posOffset>71120</wp:posOffset>
                </wp:positionV>
                <wp:extent cx="5705475" cy="1963972"/>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963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CED315A" w:rsidR="009F2011" w:rsidRPr="00A627DD" w:rsidRDefault="009F2011" w:rsidP="001E6EB0">
                                <w:pPr>
                                  <w:ind w:left="0" w:firstLine="0"/>
                                </w:pPr>
                                <w:r w:rsidRPr="00C803F3">
                                  <w:rPr>
                                    <w:rStyle w:val="Style6"/>
                                  </w:rPr>
                                  <w:t>Recommendations</w:t>
                                </w:r>
                              </w:p>
                            </w:sdtContent>
                          </w:sdt>
                          <w:p w14:paraId="72A6C7C6" w14:textId="4E4EFE1B" w:rsidR="00794643" w:rsidRDefault="00794643" w:rsidP="009D2BB0">
                            <w:pPr>
                              <w:pStyle w:val="ListParagraph"/>
                              <w:numPr>
                                <w:ilvl w:val="0"/>
                                <w:numId w:val="9"/>
                              </w:numPr>
                            </w:pPr>
                            <w:r>
                              <w:t>The Board consider the evidence base in paragraphs 21-3</w:t>
                            </w:r>
                            <w:r w:rsidR="009D2BB0">
                              <w:t>7</w:t>
                            </w:r>
                            <w:r>
                              <w:t xml:space="preserve"> and identifies gaps</w:t>
                            </w:r>
                          </w:p>
                          <w:p w14:paraId="5585D83C" w14:textId="692AD395" w:rsidR="004A739C" w:rsidRDefault="00794643" w:rsidP="008031D0">
                            <w:pPr>
                              <w:pStyle w:val="ListParagraph"/>
                              <w:numPr>
                                <w:ilvl w:val="0"/>
                                <w:numId w:val="9"/>
                              </w:numPr>
                            </w:pPr>
                            <w:r>
                              <w:t xml:space="preserve">The Board discusses the </w:t>
                            </w:r>
                            <w:r w:rsidR="00A15A20">
                              <w:t>questions in paragraph 4</w:t>
                            </w:r>
                            <w:r w:rsidR="009D2BB0">
                              <w:t>6</w:t>
                            </w:r>
                          </w:p>
                          <w:p w14:paraId="2272AF60" w14:textId="314CE89D" w:rsidR="00A15A20" w:rsidRDefault="00A15A20" w:rsidP="008031D0">
                            <w:pPr>
                              <w:pStyle w:val="ListParagraph"/>
                              <w:numPr>
                                <w:ilvl w:val="0"/>
                                <w:numId w:val="9"/>
                              </w:numPr>
                            </w:pPr>
                            <w:r>
                              <w:t xml:space="preserve">The Board endorses the </w:t>
                            </w:r>
                            <w:r w:rsidR="00AD7258">
                              <w:t>work programme in paragraphs 3</w:t>
                            </w:r>
                            <w:r w:rsidR="009D2BB0">
                              <w:t>8</w:t>
                            </w:r>
                            <w:r w:rsidR="00AD7258">
                              <w:t>-</w:t>
                            </w:r>
                            <w:r w:rsidR="00086696">
                              <w:t>4</w:t>
                            </w:r>
                            <w:r w:rsidR="009D2BB0">
                              <w:t>1</w:t>
                            </w:r>
                          </w:p>
                          <w:p w14:paraId="108513CB" w14:textId="312E3A64" w:rsidR="00E633D9" w:rsidRDefault="00E633D9" w:rsidP="008031D0">
                            <w:pPr>
                              <w:pStyle w:val="ListParagraph"/>
                              <w:numPr>
                                <w:ilvl w:val="0"/>
                                <w:numId w:val="9"/>
                              </w:numPr>
                            </w:pPr>
                            <w:r>
                              <w:t>The Board provides direction on the LGA’s work on the visitor economy in a levelling up context</w:t>
                            </w:r>
                          </w:p>
                          <w:p w14:paraId="613F8A82" w14:textId="3C48F257" w:rsidR="009F2011" w:rsidRPr="00A627DD" w:rsidRDefault="009D2BB0"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Actions</w:t>
                                </w:r>
                              </w:sdtContent>
                            </w:sdt>
                          </w:p>
                          <w:p w14:paraId="5DB19795" w14:textId="3521A832" w:rsidR="009F2011" w:rsidRPr="00056BC3" w:rsidRDefault="009F2011" w:rsidP="00056BC3">
                            <w:pPr>
                              <w:pStyle w:val="Title3"/>
                            </w:pPr>
                            <w:r w:rsidRPr="00056BC3">
                              <w:t>Officers to progress as directed.</w:t>
                            </w:r>
                          </w:p>
                          <w:p w14:paraId="011120B9" w14:textId="77777777" w:rsidR="009F2011" w:rsidRDefault="009F2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4.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CED315A" w:rsidR="009F2011" w:rsidRPr="00A627DD" w:rsidRDefault="009F2011" w:rsidP="001E6EB0">
                          <w:pPr>
                            <w:ind w:left="0" w:firstLine="0"/>
                          </w:pPr>
                          <w:r w:rsidRPr="00C803F3">
                            <w:rPr>
                              <w:rStyle w:val="Style6"/>
                            </w:rPr>
                            <w:t>Recommendations</w:t>
                          </w:r>
                        </w:p>
                      </w:sdtContent>
                    </w:sdt>
                    <w:p w14:paraId="72A6C7C6" w14:textId="4E4EFE1B" w:rsidR="00794643" w:rsidRDefault="00794643" w:rsidP="009D2BB0">
                      <w:pPr>
                        <w:pStyle w:val="ListParagraph"/>
                        <w:numPr>
                          <w:ilvl w:val="0"/>
                          <w:numId w:val="9"/>
                        </w:numPr>
                      </w:pPr>
                      <w:r>
                        <w:t>The Board consider the evidence base in paragraphs 21-3</w:t>
                      </w:r>
                      <w:r w:rsidR="009D2BB0">
                        <w:t>7</w:t>
                      </w:r>
                      <w:r>
                        <w:t xml:space="preserve"> and identifies gaps</w:t>
                      </w:r>
                    </w:p>
                    <w:p w14:paraId="5585D83C" w14:textId="692AD395" w:rsidR="004A739C" w:rsidRDefault="00794643" w:rsidP="008031D0">
                      <w:pPr>
                        <w:pStyle w:val="ListParagraph"/>
                        <w:numPr>
                          <w:ilvl w:val="0"/>
                          <w:numId w:val="9"/>
                        </w:numPr>
                      </w:pPr>
                      <w:r>
                        <w:t xml:space="preserve">The Board discusses the </w:t>
                      </w:r>
                      <w:r w:rsidR="00A15A20">
                        <w:t>questions in paragraph 4</w:t>
                      </w:r>
                      <w:r w:rsidR="009D2BB0">
                        <w:t>6</w:t>
                      </w:r>
                    </w:p>
                    <w:p w14:paraId="2272AF60" w14:textId="314CE89D" w:rsidR="00A15A20" w:rsidRDefault="00A15A20" w:rsidP="008031D0">
                      <w:pPr>
                        <w:pStyle w:val="ListParagraph"/>
                        <w:numPr>
                          <w:ilvl w:val="0"/>
                          <w:numId w:val="9"/>
                        </w:numPr>
                      </w:pPr>
                      <w:r>
                        <w:t xml:space="preserve">The Board endorses the </w:t>
                      </w:r>
                      <w:r w:rsidR="00AD7258">
                        <w:t>work programme in paragraphs 3</w:t>
                      </w:r>
                      <w:r w:rsidR="009D2BB0">
                        <w:t>8</w:t>
                      </w:r>
                      <w:r w:rsidR="00AD7258">
                        <w:t>-</w:t>
                      </w:r>
                      <w:r w:rsidR="00086696">
                        <w:t>4</w:t>
                      </w:r>
                      <w:r w:rsidR="009D2BB0">
                        <w:t>1</w:t>
                      </w:r>
                    </w:p>
                    <w:p w14:paraId="108513CB" w14:textId="312E3A64" w:rsidR="00E633D9" w:rsidRDefault="00E633D9" w:rsidP="008031D0">
                      <w:pPr>
                        <w:pStyle w:val="ListParagraph"/>
                        <w:numPr>
                          <w:ilvl w:val="0"/>
                          <w:numId w:val="9"/>
                        </w:numPr>
                      </w:pPr>
                      <w:r>
                        <w:t>The Board provides direction on the LGA’s work on the visitor economy in a levelling up context</w:t>
                      </w:r>
                    </w:p>
                    <w:p w14:paraId="613F8A82" w14:textId="3C48F257" w:rsidR="009F2011" w:rsidRPr="00A627DD" w:rsidRDefault="009D2BB0"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Actions</w:t>
                          </w:r>
                        </w:sdtContent>
                      </w:sdt>
                    </w:p>
                    <w:p w14:paraId="5DB19795" w14:textId="3521A832" w:rsidR="009F2011" w:rsidRPr="00056BC3" w:rsidRDefault="009F2011" w:rsidP="00056BC3">
                      <w:pPr>
                        <w:pStyle w:val="Title3"/>
                      </w:pPr>
                      <w:r w:rsidRPr="00056BC3">
                        <w:t>Officers to progress as directed.</w:t>
                      </w:r>
                    </w:p>
                    <w:p w14:paraId="011120B9" w14:textId="77777777" w:rsidR="009F2011" w:rsidRDefault="009F2011"/>
                  </w:txbxContent>
                </v:textbox>
                <w10:wrap anchorx="margin"/>
              </v:shape>
            </w:pict>
          </mc:Fallback>
        </mc:AlternateContent>
      </w:r>
    </w:p>
    <w:p w14:paraId="257656B1" w14:textId="77777777" w:rsidR="009B6F95" w:rsidRDefault="009B6F95" w:rsidP="00056BC3">
      <w:pPr>
        <w:pStyle w:val="Title3"/>
      </w:pPr>
    </w:p>
    <w:p w14:paraId="47E89466" w14:textId="77777777" w:rsidR="009B6F95" w:rsidRDefault="009B6F95" w:rsidP="00056BC3">
      <w:pPr>
        <w:pStyle w:val="Title3"/>
      </w:pPr>
    </w:p>
    <w:p w14:paraId="4091ED90" w14:textId="77777777" w:rsidR="009B6F95" w:rsidRDefault="009B6F95" w:rsidP="00056BC3">
      <w:pPr>
        <w:pStyle w:val="Title3"/>
      </w:pPr>
    </w:p>
    <w:p w14:paraId="3953855B" w14:textId="77777777" w:rsidR="009B6F95" w:rsidRDefault="009B6F95" w:rsidP="00056BC3">
      <w:pPr>
        <w:pStyle w:val="Title3"/>
      </w:pPr>
    </w:p>
    <w:p w14:paraId="542FB7F1" w14:textId="77777777" w:rsidR="009B6F95" w:rsidRDefault="009B6F95" w:rsidP="00056BC3">
      <w:pPr>
        <w:pStyle w:val="Title3"/>
      </w:pPr>
    </w:p>
    <w:p w14:paraId="45B0881E" w14:textId="77777777" w:rsidR="009B6F95" w:rsidRDefault="009B6F95" w:rsidP="00056BC3">
      <w:pPr>
        <w:pStyle w:val="Title3"/>
      </w:pPr>
    </w:p>
    <w:p w14:paraId="164BEDA6" w14:textId="77777777" w:rsidR="00A759A3" w:rsidRDefault="00A759A3" w:rsidP="00391230">
      <w:pPr>
        <w:ind w:left="0" w:firstLine="0"/>
        <w:rPr>
          <w:rStyle w:val="Style2"/>
        </w:rPr>
      </w:pPr>
    </w:p>
    <w:p w14:paraId="641BE758" w14:textId="337DA9D8" w:rsidR="009B6F95" w:rsidRPr="00C803F3" w:rsidRDefault="009D2BB0"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C77B3">
            <w:t>Ian Leete</w:t>
          </w:r>
        </w:sdtContent>
      </w:sdt>
    </w:p>
    <w:p w14:paraId="1D871674" w14:textId="3276ECBA" w:rsidR="009B6F95" w:rsidRDefault="009D2BB0"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C77B3">
            <w:t>Senior Adviser – Culture, Tourism and Sport</w:t>
          </w:r>
        </w:sdtContent>
      </w:sdt>
    </w:p>
    <w:p w14:paraId="627520CD" w14:textId="08FDB920" w:rsidR="009B6F95" w:rsidRDefault="009D2BB0" w:rsidP="00056BC3">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425A900D7E884B1F9F17FA0290C47927"/>
          </w:placeholder>
          <w:text w:multiLine="1"/>
        </w:sdtPr>
        <w:sdtEndPr/>
        <w:sdtContent>
          <w:r w:rsidR="00CC77B3">
            <w:rPr>
              <w:rFonts w:eastAsiaTheme="minorEastAsia"/>
              <w:noProof/>
              <w:lang w:eastAsia="en-GB"/>
            </w:rPr>
            <w:t>0207 664 3143</w:t>
          </w:r>
        </w:sdtContent>
      </w:sdt>
    </w:p>
    <w:p w14:paraId="42784F4F" w14:textId="2E18591A" w:rsidR="009B6F95" w:rsidRDefault="009B6F95" w:rsidP="00056BC3">
      <w:pPr>
        <w:pStyle w:val="Title3"/>
      </w:pPr>
      <w:r w:rsidRPr="00056BC3">
        <w:rPr>
          <w:rStyle w:val="Style2"/>
        </w:rPr>
        <w:t>Email:</w:t>
      </w:r>
      <w:r w:rsidRPr="00A627DD">
        <w:tab/>
      </w: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CC77B3">
            <w:t xml:space="preserve">ian.leete@local.gov.uk </w:t>
          </w:r>
          <w:r w:rsidR="009759D1">
            <w:br/>
          </w:r>
          <w:r w:rsidR="009759D1">
            <w:br/>
          </w:r>
        </w:sdtContent>
      </w:sdt>
    </w:p>
    <w:sdt>
      <w:sdtPr>
        <w:alias w:val="Title"/>
        <w:tag w:val="Title"/>
        <w:id w:val="113567421"/>
        <w:placeholder>
          <w:docPart w:val="062FD505539E46F5BB11983DBF00A85F"/>
        </w:placeholder>
        <w:text w:multiLine="1"/>
      </w:sdtPr>
      <w:sdtEndPr/>
      <w:sdtContent>
        <w:p w14:paraId="2811320F" w14:textId="77777777" w:rsidR="000B06C0" w:rsidRPr="00C803F3" w:rsidRDefault="000B06C0" w:rsidP="000B06C0">
          <w:pPr>
            <w:pStyle w:val="Title1"/>
            <w:ind w:left="0" w:firstLine="0"/>
          </w:pPr>
          <w:r>
            <w:t xml:space="preserve">Levelling Up the United Kingdom: White paper </w:t>
          </w:r>
        </w:p>
      </w:sdtContent>
    </w:sdt>
    <w:p w14:paraId="6B6481B8" w14:textId="77777777" w:rsidR="009B6F95" w:rsidRPr="00C803F3" w:rsidRDefault="009D2BB0" w:rsidP="00056BC3">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C38CD39" w14:textId="77777777" w:rsidR="00E72B2D" w:rsidRPr="00F22790" w:rsidRDefault="00E72B2D" w:rsidP="00F22790">
      <w:pPr>
        <w:pStyle w:val="ListParagraph"/>
        <w:numPr>
          <w:ilvl w:val="0"/>
          <w:numId w:val="0"/>
        </w:numPr>
        <w:ind w:left="360"/>
        <w:rPr>
          <w:b/>
        </w:rPr>
      </w:pPr>
    </w:p>
    <w:p w14:paraId="2DA2C86B" w14:textId="77777777" w:rsidR="00445CA6" w:rsidRDefault="00BE38D9" w:rsidP="009E1386">
      <w:pPr>
        <w:pStyle w:val="ListParagraph"/>
      </w:pPr>
      <w:r>
        <w:t xml:space="preserve">On 2 February 2022 the Government published its long-awaited levelling policy paper </w:t>
      </w:r>
      <w:hyperlink r:id="rId11" w:history="1">
        <w:r w:rsidRPr="00804888">
          <w:rPr>
            <w:rStyle w:val="Hyperlink"/>
          </w:rPr>
          <w:t>Levelling Up the United Kingdom</w:t>
        </w:r>
      </w:hyperlink>
      <w:r>
        <w:t xml:space="preserve">. </w:t>
      </w:r>
    </w:p>
    <w:p w14:paraId="7659146D" w14:textId="77777777" w:rsidR="00445CA6" w:rsidRDefault="00445CA6" w:rsidP="00445CA6">
      <w:pPr>
        <w:pStyle w:val="ListParagraph"/>
        <w:numPr>
          <w:ilvl w:val="0"/>
          <w:numId w:val="0"/>
        </w:numPr>
        <w:ind w:left="360"/>
      </w:pPr>
    </w:p>
    <w:p w14:paraId="13165C89" w14:textId="77777777" w:rsidR="00C31B40" w:rsidRDefault="00804888" w:rsidP="009E1386">
      <w:pPr>
        <w:pStyle w:val="ListParagraph"/>
      </w:pPr>
      <w:r>
        <w:t>It</w:t>
      </w:r>
      <w:r w:rsidR="00BE38D9">
        <w:t xml:space="preserve"> includes details of a new devolution framework, the establishment of a new independent data body and a new Levelling Up Advisory Council. </w:t>
      </w:r>
    </w:p>
    <w:p w14:paraId="06BE3510" w14:textId="77777777" w:rsidR="00C31B40" w:rsidRDefault="00C31B40" w:rsidP="00C31B40">
      <w:pPr>
        <w:pStyle w:val="ListParagraph"/>
        <w:numPr>
          <w:ilvl w:val="0"/>
          <w:numId w:val="0"/>
        </w:numPr>
        <w:ind w:left="360"/>
      </w:pPr>
    </w:p>
    <w:p w14:paraId="46989FC6" w14:textId="51729A15" w:rsidR="0085245D" w:rsidRDefault="00BE38D9" w:rsidP="009E1386">
      <w:pPr>
        <w:pStyle w:val="ListParagraph"/>
      </w:pPr>
      <w:r>
        <w:t xml:space="preserve">The White Paper also provides details of </w:t>
      </w:r>
      <w:hyperlink r:id="rId12" w:history="1">
        <w:r w:rsidRPr="0085245D">
          <w:rPr>
            <w:rStyle w:val="Hyperlink"/>
          </w:rPr>
          <w:t>12 new missions</w:t>
        </w:r>
      </w:hyperlink>
      <w:r>
        <w:t xml:space="preserve"> across four broad areas: </w:t>
      </w:r>
    </w:p>
    <w:p w14:paraId="348DEF39" w14:textId="77777777" w:rsidR="009759D1" w:rsidRDefault="009759D1" w:rsidP="009759D1">
      <w:pPr>
        <w:pStyle w:val="ListParagraph"/>
        <w:numPr>
          <w:ilvl w:val="0"/>
          <w:numId w:val="0"/>
        </w:numPr>
        <w:ind w:left="360"/>
      </w:pPr>
    </w:p>
    <w:p w14:paraId="4A8ACB81" w14:textId="77777777" w:rsidR="009759D1" w:rsidRDefault="00BE38D9" w:rsidP="009759D1">
      <w:pPr>
        <w:pStyle w:val="ListParagraph"/>
        <w:numPr>
          <w:ilvl w:val="1"/>
          <w:numId w:val="11"/>
        </w:numPr>
        <w:ind w:left="709"/>
      </w:pPr>
      <w:r>
        <w:t xml:space="preserve">boosting productivity and living standards by growing the private sector, especially in those places where they are lagging; </w:t>
      </w:r>
    </w:p>
    <w:p w14:paraId="550F23E5" w14:textId="77777777" w:rsidR="009759D1" w:rsidRDefault="00BE38D9" w:rsidP="009759D1">
      <w:pPr>
        <w:pStyle w:val="ListParagraph"/>
        <w:numPr>
          <w:ilvl w:val="1"/>
          <w:numId w:val="11"/>
        </w:numPr>
        <w:ind w:left="709"/>
      </w:pPr>
      <w:r>
        <w:t xml:space="preserve">spreading opportunities and improving public services, especially in those areas where they are weakest; </w:t>
      </w:r>
    </w:p>
    <w:p w14:paraId="50C5DB15" w14:textId="77777777" w:rsidR="009759D1" w:rsidRDefault="00BE38D9" w:rsidP="009759D1">
      <w:pPr>
        <w:pStyle w:val="ListParagraph"/>
        <w:numPr>
          <w:ilvl w:val="1"/>
          <w:numId w:val="11"/>
        </w:numPr>
        <w:ind w:left="709"/>
      </w:pPr>
      <w:r>
        <w:t xml:space="preserve">restoring a sense of community, local pride and belonging, especially in those places where they have been lost; and, </w:t>
      </w:r>
    </w:p>
    <w:p w14:paraId="6EFC83D6" w14:textId="14DF2CC9" w:rsidR="004B28BD" w:rsidRDefault="00BE38D9" w:rsidP="009759D1">
      <w:pPr>
        <w:pStyle w:val="ListParagraph"/>
        <w:numPr>
          <w:ilvl w:val="1"/>
          <w:numId w:val="11"/>
        </w:numPr>
        <w:ind w:left="709"/>
      </w:pPr>
      <w:r>
        <w:t xml:space="preserve">empowering local leaders and communities, especially in those places lacking local agency. </w:t>
      </w:r>
    </w:p>
    <w:p w14:paraId="32B74735" w14:textId="77777777" w:rsidR="00802DA7" w:rsidRDefault="00802DA7" w:rsidP="00802DA7">
      <w:pPr>
        <w:pStyle w:val="ListParagraph"/>
        <w:numPr>
          <w:ilvl w:val="0"/>
          <w:numId w:val="0"/>
        </w:numPr>
        <w:ind w:left="720"/>
      </w:pPr>
    </w:p>
    <w:p w14:paraId="56C09035" w14:textId="1174F74A" w:rsidR="00C31B40" w:rsidRPr="00C31B40" w:rsidRDefault="00C31B40" w:rsidP="004B28BD">
      <w:pPr>
        <w:pStyle w:val="ListParagraph"/>
        <w:rPr>
          <w:bCs/>
        </w:rPr>
      </w:pPr>
      <w:r>
        <w:t>The twelve missions will support key levelling up objectives and the capitals framework. The</w:t>
      </w:r>
      <w:r w:rsidR="00792DAD">
        <w:t>y</w:t>
      </w:r>
      <w:r>
        <w:t xml:space="preserve"> outline the medium-term ambition for the UK Government and act as an anchor for the expectations and plans of the private sector and civil society.</w:t>
      </w:r>
    </w:p>
    <w:p w14:paraId="42353761" w14:textId="77777777" w:rsidR="00C31B40" w:rsidRPr="00C31B40" w:rsidRDefault="00C31B40" w:rsidP="00C31B40">
      <w:pPr>
        <w:pStyle w:val="ListParagraph"/>
        <w:numPr>
          <w:ilvl w:val="0"/>
          <w:numId w:val="0"/>
        </w:numPr>
        <w:ind w:left="360"/>
        <w:rPr>
          <w:bCs/>
        </w:rPr>
      </w:pPr>
    </w:p>
    <w:p w14:paraId="4C9D656E" w14:textId="269EAD49" w:rsidR="00802DA7" w:rsidRPr="00802DA7" w:rsidRDefault="00792DAD" w:rsidP="004B28BD">
      <w:pPr>
        <w:pStyle w:val="ListParagraph"/>
        <w:rPr>
          <w:bCs/>
        </w:rPr>
      </w:pPr>
      <w:r>
        <w:t>The white paper</w:t>
      </w:r>
      <w:r w:rsidR="004B28BD">
        <w:t xml:space="preserve"> commits to further consultation on the metrics used to measure the success of these missions and to creating a statutory responsibility on Government to report on their progress. </w:t>
      </w:r>
    </w:p>
    <w:p w14:paraId="04CAA155" w14:textId="77777777" w:rsidR="00802DA7" w:rsidRPr="00802DA7" w:rsidRDefault="00802DA7" w:rsidP="00802DA7">
      <w:pPr>
        <w:pStyle w:val="ListParagraph"/>
        <w:numPr>
          <w:ilvl w:val="0"/>
          <w:numId w:val="0"/>
        </w:numPr>
        <w:ind w:left="360"/>
        <w:rPr>
          <w:bCs/>
        </w:rPr>
      </w:pPr>
    </w:p>
    <w:p w14:paraId="31422126" w14:textId="77777777" w:rsidR="00A34228" w:rsidRPr="00A34228" w:rsidRDefault="004B28BD" w:rsidP="004B28BD">
      <w:pPr>
        <w:pStyle w:val="ListParagraph"/>
        <w:rPr>
          <w:bCs/>
        </w:rPr>
      </w:pPr>
      <w:r>
        <w:t xml:space="preserve">The Government also published </w:t>
      </w:r>
      <w:hyperlink r:id="rId13" w:history="1">
        <w:r w:rsidRPr="00A34228">
          <w:rPr>
            <w:rStyle w:val="Hyperlink"/>
          </w:rPr>
          <w:t>UK Shared Prosperity Fund: pre-launch guidance</w:t>
        </w:r>
      </w:hyperlink>
      <w:r>
        <w:t xml:space="preserve"> providing information regarding the aims of the fund and the delivery roles of local partners. </w:t>
      </w:r>
    </w:p>
    <w:p w14:paraId="4B5AA6D3" w14:textId="77777777" w:rsidR="00A34228" w:rsidRPr="00A34228" w:rsidRDefault="00A34228" w:rsidP="00A34228">
      <w:pPr>
        <w:pStyle w:val="ListParagraph"/>
        <w:numPr>
          <w:ilvl w:val="0"/>
          <w:numId w:val="0"/>
        </w:numPr>
        <w:ind w:left="360"/>
        <w:rPr>
          <w:bCs/>
        </w:rPr>
      </w:pPr>
    </w:p>
    <w:p w14:paraId="26BC41F4" w14:textId="77777777" w:rsidR="000D0C6C" w:rsidRPr="000D0C6C" w:rsidRDefault="004B28BD" w:rsidP="004B28BD">
      <w:pPr>
        <w:pStyle w:val="ListParagraph"/>
        <w:rPr>
          <w:bCs/>
        </w:rPr>
      </w:pPr>
      <w:r>
        <w:t>The White Paper promises a series of next steps: a comprehensive programme of engagement across the UK; consultation on missions and metrics and the devolution framework; the establishment of a new body focusing on local government data; rolling out Levelling Up Directors across the UK; simplifying growth funding; creating three sub-groups to support the levelling up advisory council; and introducing future legislation to create an obligation on the UK Government to publish an annual report on progress and to strengthen devolution legislation in England.</w:t>
      </w:r>
    </w:p>
    <w:p w14:paraId="362210CA" w14:textId="77777777" w:rsidR="000D0C6C" w:rsidRPr="000D0C6C" w:rsidRDefault="000D0C6C" w:rsidP="000D0C6C">
      <w:pPr>
        <w:pStyle w:val="ListParagraph"/>
        <w:numPr>
          <w:ilvl w:val="0"/>
          <w:numId w:val="0"/>
        </w:numPr>
        <w:ind w:left="360"/>
        <w:rPr>
          <w:bCs/>
        </w:rPr>
      </w:pPr>
    </w:p>
    <w:p w14:paraId="010D8D1D" w14:textId="0BC78818" w:rsidR="004B28BD" w:rsidRPr="00C140EC" w:rsidRDefault="000D0C6C" w:rsidP="004B28BD">
      <w:pPr>
        <w:pStyle w:val="ListParagraph"/>
        <w:rPr>
          <w:bCs/>
        </w:rPr>
      </w:pPr>
      <w:r>
        <w:lastRenderedPageBreak/>
        <w:t xml:space="preserve">Further </w:t>
      </w:r>
      <w:r w:rsidR="00254561">
        <w:t xml:space="preserve">detail </w:t>
      </w:r>
      <w:r>
        <w:t xml:space="preserve">can be found </w:t>
      </w:r>
      <w:r w:rsidR="00254561">
        <w:t>in th</w:t>
      </w:r>
      <w:r>
        <w:t xml:space="preserve">e </w:t>
      </w:r>
      <w:hyperlink r:id="rId14" w:history="1">
        <w:r w:rsidR="004E7C78">
          <w:rPr>
            <w:rStyle w:val="Hyperlink"/>
          </w:rPr>
          <w:t>LGA Briefing</w:t>
        </w:r>
      </w:hyperlink>
      <w:r w:rsidR="005837B5">
        <w:t xml:space="preserve">, </w:t>
      </w:r>
      <w:r w:rsidR="004E7C78">
        <w:t xml:space="preserve">while the </w:t>
      </w:r>
      <w:r w:rsidR="006B0FE0">
        <w:t xml:space="preserve">LGA’s existing narrative can be found in the response to the DCMS Select Committee (Annex </w:t>
      </w:r>
      <w:r w:rsidR="005837B5">
        <w:t>A</w:t>
      </w:r>
      <w:r w:rsidR="006B0FE0">
        <w:t xml:space="preserve">), although it should be noted this was written before the Levelling Up white paper was published. </w:t>
      </w:r>
      <w:r>
        <w:t xml:space="preserve"> </w:t>
      </w:r>
    </w:p>
    <w:p w14:paraId="23A85968" w14:textId="77777777" w:rsidR="00C140EC" w:rsidRPr="00C140EC" w:rsidRDefault="00C140EC" w:rsidP="00C140EC">
      <w:pPr>
        <w:pStyle w:val="ListParagraph"/>
        <w:numPr>
          <w:ilvl w:val="0"/>
          <w:numId w:val="0"/>
        </w:numPr>
        <w:ind w:left="360"/>
        <w:rPr>
          <w:bCs/>
        </w:rPr>
      </w:pPr>
    </w:p>
    <w:p w14:paraId="4B62AD8A" w14:textId="7FA873ED" w:rsidR="00C140EC" w:rsidRDefault="00C140EC" w:rsidP="004B28BD">
      <w:pPr>
        <w:pStyle w:val="ListParagraph"/>
        <w:rPr>
          <w:bCs/>
        </w:rPr>
      </w:pPr>
      <w:r>
        <w:rPr>
          <w:bCs/>
        </w:rPr>
        <w:t>The white paper itself was not accompanied by any new funding</w:t>
      </w:r>
      <w:r w:rsidR="00AC7F0B">
        <w:rPr>
          <w:bCs/>
        </w:rPr>
        <w:t xml:space="preserve"> announcements</w:t>
      </w:r>
      <w:r>
        <w:rPr>
          <w:bCs/>
        </w:rPr>
        <w:t xml:space="preserve">. However, </w:t>
      </w:r>
      <w:r w:rsidR="00AC7F0B">
        <w:rPr>
          <w:bCs/>
        </w:rPr>
        <w:t xml:space="preserve">the Levelling Up Fund is expected to open for a further round of funding bids, while a pre-launch prospectus for the UK Shared Prosperity Fund </w:t>
      </w:r>
      <w:r w:rsidR="006B0893">
        <w:rPr>
          <w:bCs/>
        </w:rPr>
        <w:t xml:space="preserve">(UKSPF) </w:t>
      </w:r>
      <w:r w:rsidR="00AC7F0B">
        <w:rPr>
          <w:bCs/>
        </w:rPr>
        <w:t>was included as a core component of the white paper, and it is clear that these funds are expected to drive much of the delivery</w:t>
      </w:r>
      <w:r w:rsidR="00440D6F">
        <w:rPr>
          <w:bCs/>
        </w:rPr>
        <w:t xml:space="preserve"> on Levelling Up. </w:t>
      </w:r>
    </w:p>
    <w:p w14:paraId="4D32C8C1" w14:textId="77777777" w:rsidR="00440D6F" w:rsidRPr="00440D6F" w:rsidRDefault="00440D6F" w:rsidP="00440D6F">
      <w:pPr>
        <w:pStyle w:val="ListParagraph"/>
        <w:numPr>
          <w:ilvl w:val="0"/>
          <w:numId w:val="0"/>
        </w:numPr>
        <w:ind w:left="360"/>
        <w:rPr>
          <w:bCs/>
        </w:rPr>
      </w:pPr>
    </w:p>
    <w:p w14:paraId="7991107F" w14:textId="2A7401E7" w:rsidR="00440D6F" w:rsidRPr="00E8480F" w:rsidRDefault="00440D6F" w:rsidP="004B28BD">
      <w:pPr>
        <w:pStyle w:val="ListParagraph"/>
        <w:rPr>
          <w:bCs/>
        </w:rPr>
      </w:pPr>
      <w:r>
        <w:rPr>
          <w:bCs/>
        </w:rPr>
        <w:t xml:space="preserve">However, the paper sets out the expectation that other departments will align funding streams to support levelling up, and </w:t>
      </w:r>
      <w:r w:rsidR="006B0893">
        <w:rPr>
          <w:bCs/>
        </w:rPr>
        <w:t xml:space="preserve">a small pot of £30 million for parks, announced at the last budget, has already been integrated into the UKSPF. More significantly, DCMS has taken the lead on this by </w:t>
      </w:r>
      <w:hyperlink r:id="rId15" w:history="1">
        <w:r w:rsidR="006B0893" w:rsidRPr="00776E6C">
          <w:rPr>
            <w:rStyle w:val="Hyperlink"/>
            <w:bCs/>
          </w:rPr>
          <w:t xml:space="preserve">announcing that </w:t>
        </w:r>
        <w:r w:rsidR="00C9080C" w:rsidRPr="00776E6C">
          <w:rPr>
            <w:rStyle w:val="Hyperlink"/>
            <w:bCs/>
          </w:rPr>
          <w:t xml:space="preserve">all of </w:t>
        </w:r>
        <w:r w:rsidR="00631C25" w:rsidRPr="00776E6C">
          <w:rPr>
            <w:rStyle w:val="Hyperlink"/>
            <w:bCs/>
          </w:rPr>
          <w:t xml:space="preserve">Arts Council England’s spending review uplift </w:t>
        </w:r>
        <w:r w:rsidR="00C9080C" w:rsidRPr="00776E6C">
          <w:rPr>
            <w:rStyle w:val="Hyperlink"/>
            <w:bCs/>
          </w:rPr>
          <w:t>will be invested in levelling up areas</w:t>
        </w:r>
      </w:hyperlink>
      <w:r w:rsidR="00C9080C">
        <w:rPr>
          <w:bCs/>
        </w:rPr>
        <w:t xml:space="preserve">, including </w:t>
      </w:r>
      <w:r w:rsidR="00F32517">
        <w:rPr>
          <w:bCs/>
        </w:rPr>
        <w:t xml:space="preserve">via </w:t>
      </w:r>
      <w:r w:rsidR="00C9080C">
        <w:rPr>
          <w:bCs/>
        </w:rPr>
        <w:t xml:space="preserve">the </w:t>
      </w:r>
      <w:r w:rsidR="00F32517">
        <w:rPr>
          <w:bCs/>
        </w:rPr>
        <w:t xml:space="preserve">next </w:t>
      </w:r>
      <w:r w:rsidR="00C9080C">
        <w:rPr>
          <w:bCs/>
        </w:rPr>
        <w:t xml:space="preserve">National Portfolio </w:t>
      </w:r>
      <w:r w:rsidR="00F32517">
        <w:rPr>
          <w:bCs/>
        </w:rPr>
        <w:t xml:space="preserve">Organisations (NPO) round. NPOs </w:t>
      </w:r>
      <w:r w:rsidR="00F32517">
        <w:t>will be expected to increase the total proportion of their combined impact in Levelling Up for Culture Places by 15% by March 2026.</w:t>
      </w:r>
    </w:p>
    <w:p w14:paraId="3C96CE2C" w14:textId="77777777" w:rsidR="00E8480F" w:rsidRPr="00E8480F" w:rsidRDefault="00E8480F" w:rsidP="00E8480F">
      <w:pPr>
        <w:pStyle w:val="ListParagraph"/>
        <w:numPr>
          <w:ilvl w:val="0"/>
          <w:numId w:val="0"/>
        </w:numPr>
        <w:ind w:left="360"/>
        <w:rPr>
          <w:bCs/>
        </w:rPr>
      </w:pPr>
    </w:p>
    <w:p w14:paraId="3F79BEBA" w14:textId="2F38F3A6" w:rsidR="00E8480F" w:rsidRPr="005C34AE" w:rsidRDefault="00E8480F" w:rsidP="004B28BD">
      <w:pPr>
        <w:pStyle w:val="ListParagraph"/>
        <w:rPr>
          <w:bCs/>
        </w:rPr>
      </w:pPr>
      <w:r>
        <w:rPr>
          <w:bCs/>
        </w:rPr>
        <w:t xml:space="preserve">This is consistent with the LGA’s long-standing policy line that more arts and culture funding should be invested outside of London. Importantly, this should not lead to a reduction in investment in London as </w:t>
      </w:r>
      <w:r w:rsidR="00CA351C">
        <w:rPr>
          <w:bCs/>
        </w:rPr>
        <w:t xml:space="preserve">the additional funding is drawn from the Spending Review uplift. However, organisations are likely to experience a decline in real terms </w:t>
      </w:r>
      <w:r w:rsidR="00D1124B">
        <w:rPr>
          <w:bCs/>
        </w:rPr>
        <w:t xml:space="preserve">as a result of inflation and pressures like increased energy costs. We would value views from the Board’s London members on the likely overall impact of this decision. </w:t>
      </w:r>
    </w:p>
    <w:p w14:paraId="341E430C" w14:textId="77777777" w:rsidR="005C34AE" w:rsidRPr="005C34AE" w:rsidRDefault="005C34AE" w:rsidP="005C34AE">
      <w:pPr>
        <w:pStyle w:val="ListParagraph"/>
        <w:numPr>
          <w:ilvl w:val="0"/>
          <w:numId w:val="0"/>
        </w:numPr>
        <w:ind w:left="360"/>
        <w:rPr>
          <w:bCs/>
        </w:rPr>
      </w:pPr>
    </w:p>
    <w:p w14:paraId="6E5453C3" w14:textId="217C8CC9" w:rsidR="005C34AE" w:rsidRPr="004B28BD" w:rsidRDefault="005C34AE" w:rsidP="004B28BD">
      <w:pPr>
        <w:pStyle w:val="ListParagraph"/>
        <w:rPr>
          <w:bCs/>
        </w:rPr>
      </w:pPr>
      <w:r>
        <w:rPr>
          <w:bCs/>
        </w:rPr>
        <w:t xml:space="preserve">Similar commitments have not been asked of Sport England or VisitBritain to date. However, Sport England’s new strategy and investment plans have a strong focus on place, as presented at the previous Board, while the DCMS Tourism team is conducting a policy sprint into the North East to </w:t>
      </w:r>
      <w:r w:rsidR="00E21148">
        <w:rPr>
          <w:bCs/>
        </w:rPr>
        <w:t xml:space="preserve">identify how to grow the regional visitor economy. The LGA is supporting this work. </w:t>
      </w:r>
      <w:r>
        <w:rPr>
          <w:bCs/>
        </w:rPr>
        <w:t xml:space="preserve"> </w:t>
      </w:r>
    </w:p>
    <w:p w14:paraId="3669F0C3" w14:textId="77777777" w:rsidR="00EA4B9E" w:rsidRPr="00EA4B9E" w:rsidRDefault="00EA4B9E" w:rsidP="00EA4B9E">
      <w:pPr>
        <w:pStyle w:val="ListParagraph"/>
        <w:numPr>
          <w:ilvl w:val="0"/>
          <w:numId w:val="0"/>
        </w:numPr>
        <w:ind w:left="360"/>
        <w:rPr>
          <w:bCs/>
        </w:rPr>
      </w:pPr>
    </w:p>
    <w:p w14:paraId="037EE6D3" w14:textId="353F87AD" w:rsidR="00EA4B9E" w:rsidRPr="00EA4B9E" w:rsidRDefault="00AA4BA2" w:rsidP="00EA4B9E">
      <w:pPr>
        <w:ind w:left="360" w:hanging="360"/>
        <w:rPr>
          <w:bCs/>
        </w:rPr>
      </w:pPr>
      <w:r>
        <w:rPr>
          <w:b/>
        </w:rPr>
        <w:t>Culture, tourism and sport’s contribution to the whitepaper</w:t>
      </w:r>
    </w:p>
    <w:p w14:paraId="4A44B272" w14:textId="77777777" w:rsidR="00AA1618" w:rsidRPr="00AA1618" w:rsidRDefault="00AA1618" w:rsidP="00AA1618">
      <w:pPr>
        <w:pStyle w:val="ListParagraph"/>
        <w:numPr>
          <w:ilvl w:val="0"/>
          <w:numId w:val="0"/>
        </w:numPr>
        <w:ind w:left="360"/>
        <w:rPr>
          <w:bCs/>
        </w:rPr>
      </w:pPr>
    </w:p>
    <w:p w14:paraId="1C3C65C8" w14:textId="3F988307" w:rsidR="00C337B7" w:rsidRPr="00C337B7" w:rsidRDefault="6FB73196" w:rsidP="00695A86">
      <w:pPr>
        <w:pStyle w:val="ListParagraph"/>
      </w:pPr>
      <w:r w:rsidRPr="5063B398">
        <w:rPr>
          <w:rFonts w:eastAsia="Arial" w:cs="Arial"/>
        </w:rPr>
        <w:t xml:space="preserve">The white paper </w:t>
      </w:r>
      <w:r w:rsidR="614712E5" w:rsidRPr="5063B398">
        <w:rPr>
          <w:rFonts w:eastAsia="Arial" w:cs="Arial"/>
        </w:rPr>
        <w:t>recognises</w:t>
      </w:r>
      <w:r w:rsidRPr="5063B398">
        <w:rPr>
          <w:rFonts w:eastAsia="Arial" w:cs="Arial"/>
        </w:rPr>
        <w:t xml:space="preserve"> culture, heritage and sport’s impact on communities</w:t>
      </w:r>
      <w:r w:rsidR="00E873ED">
        <w:rPr>
          <w:rFonts w:eastAsia="Arial" w:cs="Arial"/>
        </w:rPr>
        <w:t xml:space="preserve">, although this </w:t>
      </w:r>
      <w:r w:rsidR="00A5648C">
        <w:rPr>
          <w:rFonts w:eastAsia="Arial" w:cs="Arial"/>
        </w:rPr>
        <w:t>is not consistent throughout the paper</w:t>
      </w:r>
      <w:r w:rsidR="78CAAB5E" w:rsidRPr="5063B398">
        <w:rPr>
          <w:rFonts w:eastAsia="Arial" w:cs="Arial"/>
        </w:rPr>
        <w:t>.</w:t>
      </w:r>
      <w:r w:rsidR="00A5648C">
        <w:rPr>
          <w:rFonts w:eastAsia="Arial" w:cs="Arial"/>
        </w:rPr>
        <w:t xml:space="preserve"> The Pride of Place </w:t>
      </w:r>
      <w:r w:rsidR="0060653B">
        <w:rPr>
          <w:rFonts w:eastAsia="Arial" w:cs="Arial"/>
        </w:rPr>
        <w:t xml:space="preserve">section is where this is most frequently discussed. However, culture, tourism and sport can deliver across a number of the identified missions and it is a weakness of the white paper that it </w:t>
      </w:r>
      <w:r w:rsidR="00C77117">
        <w:rPr>
          <w:rFonts w:eastAsia="Arial" w:cs="Arial"/>
        </w:rPr>
        <w:t xml:space="preserve">treats investments as silos and </w:t>
      </w:r>
      <w:r w:rsidR="0060653B">
        <w:rPr>
          <w:rFonts w:eastAsia="Arial" w:cs="Arial"/>
        </w:rPr>
        <w:t xml:space="preserve">does not recognise that investing </w:t>
      </w:r>
      <w:r w:rsidR="00C77117">
        <w:rPr>
          <w:rFonts w:eastAsia="Arial" w:cs="Arial"/>
        </w:rPr>
        <w:t>in particular activities or assets can have a positive impact on multiple missions at once.</w:t>
      </w:r>
      <w:r w:rsidR="2F97F95A" w:rsidRPr="5063B398">
        <w:rPr>
          <w:rFonts w:eastAsia="Arial" w:cs="Arial"/>
        </w:rPr>
        <w:t xml:space="preserve"> </w:t>
      </w:r>
    </w:p>
    <w:p w14:paraId="78E179EA" w14:textId="77777777" w:rsidR="00C337B7" w:rsidRPr="00C337B7" w:rsidRDefault="00C337B7" w:rsidP="00C337B7">
      <w:pPr>
        <w:pStyle w:val="ListParagraph"/>
        <w:numPr>
          <w:ilvl w:val="0"/>
          <w:numId w:val="0"/>
        </w:numPr>
        <w:ind w:left="360"/>
      </w:pPr>
    </w:p>
    <w:p w14:paraId="784107DD" w14:textId="56271F75" w:rsidR="00C337B7" w:rsidRDefault="00C337B7" w:rsidP="00695A86">
      <w:pPr>
        <w:pStyle w:val="ListParagraph"/>
      </w:pPr>
      <w:r>
        <w:t>Culture is explored in some depth</w:t>
      </w:r>
      <w:r w:rsidR="00C140EC">
        <w:t xml:space="preserve"> and </w:t>
      </w:r>
      <w:r w:rsidR="00E873ED">
        <w:t xml:space="preserve">forms the key component of the Pride of Place objective. </w:t>
      </w:r>
      <w:r w:rsidR="00C77117">
        <w:t xml:space="preserve">It is viewed as a </w:t>
      </w:r>
      <w:r w:rsidR="00FD37CF">
        <w:t xml:space="preserve">relatively quick and easy way to make progress on levelling </w:t>
      </w:r>
      <w:r w:rsidR="00FD37CF">
        <w:lastRenderedPageBreak/>
        <w:t xml:space="preserve">up objectives. However, the challenge will be to move this investment beyond </w:t>
      </w:r>
      <w:r w:rsidR="00532BB3">
        <w:t xml:space="preserve">superficial street scene improvements (although these have a role too) and towards some of the major contributions that we know cultural investments can make to community cohesion, economic growth, and health and wellbeing. </w:t>
      </w:r>
    </w:p>
    <w:p w14:paraId="20FBFF1D" w14:textId="77777777" w:rsidR="00532BB3" w:rsidRDefault="00532BB3" w:rsidP="00532BB3">
      <w:pPr>
        <w:pStyle w:val="ListParagraph"/>
        <w:numPr>
          <w:ilvl w:val="0"/>
          <w:numId w:val="0"/>
        </w:numPr>
        <w:ind w:left="360"/>
      </w:pPr>
    </w:p>
    <w:p w14:paraId="35EEB0A8" w14:textId="3035BA4E" w:rsidR="00532BB3" w:rsidRDefault="00532BB3" w:rsidP="00695A86">
      <w:pPr>
        <w:pStyle w:val="ListParagraph"/>
      </w:pPr>
      <w:r>
        <w:t xml:space="preserve">Sport is less extensively discussed than culture, but has a greater profile than was initially expected. </w:t>
      </w:r>
      <w:r w:rsidR="00D41A91">
        <w:t xml:space="preserve">There is a strong emphasis on international competitiveness and elite sport, and we believe there is more that can be done to </w:t>
      </w:r>
      <w:r w:rsidR="00895807">
        <w:t xml:space="preserve">articulate the contribution of physical activity to many of the mission objectives, as set out below. </w:t>
      </w:r>
    </w:p>
    <w:p w14:paraId="60F247EA" w14:textId="77777777" w:rsidR="00895807" w:rsidRDefault="00895807" w:rsidP="00895807">
      <w:pPr>
        <w:pStyle w:val="ListParagraph"/>
        <w:numPr>
          <w:ilvl w:val="0"/>
          <w:numId w:val="0"/>
        </w:numPr>
        <w:ind w:left="360"/>
      </w:pPr>
    </w:p>
    <w:p w14:paraId="18391549" w14:textId="07973766" w:rsidR="00895807" w:rsidRDefault="00895807" w:rsidP="00695A86">
      <w:pPr>
        <w:pStyle w:val="ListParagraph"/>
      </w:pPr>
      <w:r>
        <w:t xml:space="preserve">The visitor economy is mentioned only in a negative context, reflecting the decline of this </w:t>
      </w:r>
      <w:r w:rsidR="000120C6">
        <w:t>industry in some coastal areas. This fails to recognise that the visitor economy is responsible for the largest flow of non-public money from urban to rural and coastal areas</w:t>
      </w:r>
      <w:r w:rsidR="00A75D64">
        <w:t xml:space="preserve"> (around £2 billion per annum) and is a significant, albeit often seasonal, employer in every council area. </w:t>
      </w:r>
    </w:p>
    <w:p w14:paraId="7F989E3A" w14:textId="02B876A0" w:rsidR="00383E1E" w:rsidRPr="00383E1E" w:rsidRDefault="00383E1E" w:rsidP="00383E1E">
      <w:pPr>
        <w:ind w:left="0" w:firstLine="0"/>
        <w:rPr>
          <w:b/>
          <w:bCs/>
        </w:rPr>
      </w:pPr>
      <w:r w:rsidRPr="00383E1E">
        <w:rPr>
          <w:b/>
          <w:bCs/>
        </w:rPr>
        <w:t>LGA public opinion polling</w:t>
      </w:r>
    </w:p>
    <w:p w14:paraId="21C5EC2D" w14:textId="0A4B1686" w:rsidR="005424E7" w:rsidRDefault="00383E1E" w:rsidP="00383E1E">
      <w:pPr>
        <w:pStyle w:val="ListParagraph"/>
      </w:pPr>
      <w:r>
        <w:t>There has been</w:t>
      </w:r>
      <w:r w:rsidR="00534469">
        <w:t xml:space="preserve"> some</w:t>
      </w:r>
      <w:r>
        <w:t xml:space="preserve"> criticism of </w:t>
      </w:r>
      <w:r w:rsidR="00534469">
        <w:t>l</w:t>
      </w:r>
      <w:r>
        <w:t xml:space="preserve">evelling </w:t>
      </w:r>
      <w:r w:rsidR="00534469">
        <w:t>u</w:t>
      </w:r>
      <w:r>
        <w:t>p as a policy</w:t>
      </w:r>
      <w:r w:rsidR="00957190">
        <w:t xml:space="preserve">, claiming that it is poorly understood and has little resonance in places. The white paper has gone some way to addressing these concerns. However, the LGA has also undertaken some public opinion polling to identify </w:t>
      </w:r>
      <w:r w:rsidR="005424E7">
        <w:t xml:space="preserve">what the public expect to change as a result of this policy. </w:t>
      </w:r>
    </w:p>
    <w:p w14:paraId="0DCCB07F" w14:textId="77777777" w:rsidR="005424E7" w:rsidRDefault="005424E7" w:rsidP="005424E7">
      <w:pPr>
        <w:pStyle w:val="ListParagraph"/>
        <w:numPr>
          <w:ilvl w:val="0"/>
          <w:numId w:val="0"/>
        </w:numPr>
        <w:ind w:left="360"/>
      </w:pPr>
    </w:p>
    <w:p w14:paraId="10B36847" w14:textId="3009F0BB" w:rsidR="00383E1E" w:rsidRDefault="005424E7" w:rsidP="00383E1E">
      <w:pPr>
        <w:pStyle w:val="ListParagraph"/>
      </w:pPr>
      <w:r>
        <w:t xml:space="preserve">The results are significant from a culture tourism and sport perspective, </w:t>
      </w:r>
      <w:r w:rsidR="00267D5B">
        <w:t xml:space="preserve">with the largest group of respondents identifying </w:t>
      </w:r>
      <w:r w:rsidR="008C0274">
        <w:t>“</w:t>
      </w:r>
      <w:r w:rsidR="008C0274" w:rsidRPr="008C0274">
        <w:t>Improving existing, or creating new local facilities e.g. libraries, community centres, swimming pools, parks</w:t>
      </w:r>
      <w:r w:rsidR="008C0274">
        <w:t>” as their priority for local government spending - 42%</w:t>
      </w:r>
      <w:r w:rsidR="00383E1E">
        <w:t xml:space="preserve"> </w:t>
      </w:r>
      <w:r w:rsidR="008C0274">
        <w:t xml:space="preserve">of people said this, compared to the next highest of </w:t>
      </w:r>
      <w:r w:rsidR="00336490">
        <w:t xml:space="preserve">investing in more community safety officers (35%). This order of priority was true for Labour and Liberal Democrat voters, but was reversed for Conservative votes </w:t>
      </w:r>
      <w:r w:rsidR="00A14397">
        <w:t xml:space="preserve">with 38% saying investment in facilities was their priority, compared to 44% saying community safety officers were the priority. </w:t>
      </w:r>
    </w:p>
    <w:p w14:paraId="27013D47" w14:textId="77777777" w:rsidR="00722EA3" w:rsidRDefault="00722EA3" w:rsidP="00722EA3">
      <w:pPr>
        <w:pStyle w:val="ListParagraph"/>
        <w:numPr>
          <w:ilvl w:val="0"/>
          <w:numId w:val="0"/>
        </w:numPr>
        <w:ind w:left="360"/>
      </w:pPr>
    </w:p>
    <w:p w14:paraId="0865086F" w14:textId="55D50357" w:rsidR="00722EA3" w:rsidRDefault="007C67DD" w:rsidP="00383E1E">
      <w:pPr>
        <w:pStyle w:val="ListParagraph"/>
      </w:pPr>
      <w:r w:rsidRPr="007C67DD">
        <w:t>All figures</w:t>
      </w:r>
      <w:r w:rsidR="00251F57">
        <w:t xml:space="preserve"> </w:t>
      </w:r>
      <w:r w:rsidRPr="007C67DD">
        <w:t>are from YouGov Plc.  Total sample size was 1,686 adults. Fieldwork was undertaken between 31st January - 1st February 2022.  The survey was carried out online. The figures have been weighted and are representative of all GB adults (aged 18+).</w:t>
      </w:r>
    </w:p>
    <w:p w14:paraId="6FC86879" w14:textId="1B127AA2" w:rsidR="00C337B7" w:rsidRPr="00383E1E" w:rsidRDefault="00383E1E" w:rsidP="00383E1E">
      <w:pPr>
        <w:ind w:left="0" w:firstLine="0"/>
        <w:rPr>
          <w:b/>
          <w:bCs/>
        </w:rPr>
      </w:pPr>
      <w:r w:rsidRPr="00383E1E">
        <w:rPr>
          <w:b/>
          <w:bCs/>
        </w:rPr>
        <w:t>The missions</w:t>
      </w:r>
    </w:p>
    <w:p w14:paraId="6F73A5E0" w14:textId="6F136AC1" w:rsidR="002031AE" w:rsidRPr="005D255A" w:rsidRDefault="2F97F95A" w:rsidP="00695A86">
      <w:pPr>
        <w:pStyle w:val="ListParagraph"/>
      </w:pPr>
      <w:r w:rsidRPr="5063B398">
        <w:rPr>
          <w:rFonts w:eastAsia="Arial" w:cs="Arial"/>
        </w:rPr>
        <w:t>Culture, Tourism and Sport can contribute to these missions as follows</w:t>
      </w:r>
      <w:r w:rsidR="005D255A">
        <w:rPr>
          <w:rFonts w:eastAsia="Arial" w:cs="Arial"/>
        </w:rPr>
        <w:t>:</w:t>
      </w:r>
    </w:p>
    <w:p w14:paraId="56F3621A" w14:textId="77777777" w:rsidR="005D255A" w:rsidRDefault="005D255A" w:rsidP="005D255A">
      <w:pPr>
        <w:pStyle w:val="ListParagraph"/>
        <w:numPr>
          <w:ilvl w:val="0"/>
          <w:numId w:val="0"/>
        </w:numPr>
        <w:ind w:left="360"/>
      </w:pPr>
    </w:p>
    <w:p w14:paraId="20B847CC" w14:textId="53461657" w:rsidR="7CA52292" w:rsidRPr="004234F7" w:rsidRDefault="098C3114" w:rsidP="20F15064">
      <w:pPr>
        <w:pStyle w:val="ListParagraph"/>
        <w:rPr>
          <w:rFonts w:asciiTheme="minorHAnsi" w:eastAsiaTheme="minorEastAsia" w:hAnsiTheme="minorHAnsi"/>
          <w:b/>
          <w:bCs/>
          <w:lang w:val="en-US"/>
        </w:rPr>
      </w:pPr>
      <w:r w:rsidRPr="20F15064">
        <w:rPr>
          <w:rFonts w:eastAsia="Arial" w:cs="Arial"/>
          <w:b/>
          <w:bCs/>
        </w:rPr>
        <w:t>Mission 5: Primary School Achievement</w:t>
      </w:r>
    </w:p>
    <w:p w14:paraId="42D3F839" w14:textId="77777777" w:rsidR="004234F7" w:rsidRPr="004234F7" w:rsidRDefault="004234F7" w:rsidP="004234F7">
      <w:pPr>
        <w:pStyle w:val="ListParagraph"/>
        <w:numPr>
          <w:ilvl w:val="0"/>
          <w:numId w:val="0"/>
        </w:numPr>
        <w:ind w:left="360"/>
        <w:rPr>
          <w:rFonts w:asciiTheme="minorHAnsi" w:eastAsiaTheme="minorEastAsia" w:hAnsiTheme="minorHAnsi"/>
          <w:b/>
          <w:bCs/>
          <w:lang w:val="en-US"/>
        </w:rPr>
      </w:pPr>
    </w:p>
    <w:p w14:paraId="21B1876B" w14:textId="77777777" w:rsidR="009759D1" w:rsidRPr="009759D1" w:rsidRDefault="00695A86" w:rsidP="009759D1">
      <w:pPr>
        <w:pStyle w:val="ListParagraph"/>
        <w:numPr>
          <w:ilvl w:val="1"/>
          <w:numId w:val="1"/>
        </w:numPr>
        <w:ind w:left="851" w:hanging="567"/>
        <w:rPr>
          <w:b/>
          <w:lang w:val="en-US"/>
        </w:rPr>
      </w:pPr>
      <w:r w:rsidRPr="00695A86">
        <w:rPr>
          <w:rFonts w:eastAsia="Arial" w:cs="Arial"/>
        </w:rPr>
        <w:t xml:space="preserve">Young people’s participation in sport improves their numeracy scores by </w:t>
      </w:r>
      <w:r w:rsidR="008445B0">
        <w:rPr>
          <w:rFonts w:eastAsia="Arial" w:cs="Arial"/>
        </w:rPr>
        <w:t>8 per cent</w:t>
      </w:r>
      <w:r w:rsidRPr="00695A86">
        <w:rPr>
          <w:rFonts w:eastAsia="Arial" w:cs="Arial"/>
        </w:rPr>
        <w:t xml:space="preserve"> on average above non-participants. Underachieving young people who take part in </w:t>
      </w:r>
      <w:r w:rsidRPr="00695A86">
        <w:rPr>
          <w:rFonts w:eastAsia="Arial" w:cs="Arial"/>
        </w:rPr>
        <w:lastRenderedPageBreak/>
        <w:t>sport see a 29</w:t>
      </w:r>
      <w:r w:rsidR="0023249B">
        <w:rPr>
          <w:rFonts w:eastAsia="Arial" w:cs="Arial"/>
        </w:rPr>
        <w:t xml:space="preserve"> per cent </w:t>
      </w:r>
      <w:r w:rsidRPr="00695A86">
        <w:rPr>
          <w:rFonts w:eastAsia="Arial" w:cs="Arial"/>
        </w:rPr>
        <w:t>increase in numeracy skills and a 12 to 16</w:t>
      </w:r>
      <w:r w:rsidR="0023249B">
        <w:rPr>
          <w:rFonts w:eastAsia="Arial" w:cs="Arial"/>
        </w:rPr>
        <w:t xml:space="preserve"> per cent</w:t>
      </w:r>
      <w:r w:rsidRPr="00695A86">
        <w:rPr>
          <w:rFonts w:eastAsia="Arial" w:cs="Arial"/>
        </w:rPr>
        <w:t xml:space="preserve"> rise in other transferable skills. (Sport England)</w:t>
      </w:r>
    </w:p>
    <w:p w14:paraId="3389C320" w14:textId="77777777" w:rsidR="009759D1" w:rsidRPr="009759D1" w:rsidRDefault="000C564E" w:rsidP="009759D1">
      <w:pPr>
        <w:pStyle w:val="ListParagraph"/>
        <w:numPr>
          <w:ilvl w:val="1"/>
          <w:numId w:val="1"/>
        </w:numPr>
        <w:ind w:left="851" w:hanging="567"/>
        <w:rPr>
          <w:b/>
          <w:lang w:val="en-US"/>
        </w:rPr>
      </w:pPr>
      <w:r>
        <w:t>85</w:t>
      </w:r>
      <w:r w:rsidR="002655F5">
        <w:t xml:space="preserve"> per cent</w:t>
      </w:r>
      <w:r>
        <w:t xml:space="preserve"> of young people learn </w:t>
      </w:r>
      <w:r w:rsidR="006C09E3">
        <w:t xml:space="preserve">essential </w:t>
      </w:r>
      <w:r>
        <w:t>swim</w:t>
      </w:r>
      <w:r w:rsidR="0071507A">
        <w:t>ming and water safety skills</w:t>
      </w:r>
      <w:r>
        <w:t xml:space="preserve"> in a public swimming pool.</w:t>
      </w:r>
      <w:r w:rsidR="00C903B4">
        <w:t xml:space="preserve"> </w:t>
      </w:r>
      <w:r w:rsidR="00670828">
        <w:t xml:space="preserve">Swim England research </w:t>
      </w:r>
      <w:r w:rsidR="00CB6DD0">
        <w:t xml:space="preserve">predicts that </w:t>
      </w:r>
      <w:hyperlink r:id="rId16">
        <w:r w:rsidR="00A12F6E" w:rsidRPr="20F15064">
          <w:rPr>
            <w:rStyle w:val="Hyperlink"/>
          </w:rPr>
          <w:t>1.88 million children</w:t>
        </w:r>
      </w:hyperlink>
      <w:r w:rsidR="00A12F6E">
        <w:t xml:space="preserve"> are estimated to have missed out on school swimming lessons due to COVID-19</w:t>
      </w:r>
      <w:r w:rsidR="00C57B38">
        <w:t xml:space="preserve">. Of this </w:t>
      </w:r>
      <w:r w:rsidR="00A12F6E">
        <w:t>an estimated 532,000 of these children</w:t>
      </w:r>
      <w:r w:rsidR="00C57B38">
        <w:t xml:space="preserve"> </w:t>
      </w:r>
      <w:r w:rsidR="00A12F6E">
        <w:t>come from ethnically diverse communities</w:t>
      </w:r>
      <w:r w:rsidR="00C57B38">
        <w:t xml:space="preserve"> and </w:t>
      </w:r>
      <w:r w:rsidR="00E52082">
        <w:t xml:space="preserve">411,000 live in the most deprived areas in England. </w:t>
      </w:r>
    </w:p>
    <w:p w14:paraId="2D701B64" w14:textId="4D579206" w:rsidR="7CA52292" w:rsidRPr="009759D1" w:rsidRDefault="20F15064" w:rsidP="009759D1">
      <w:pPr>
        <w:pStyle w:val="ListParagraph"/>
        <w:numPr>
          <w:ilvl w:val="1"/>
          <w:numId w:val="1"/>
        </w:numPr>
        <w:ind w:left="851" w:hanging="567"/>
        <w:rPr>
          <w:b/>
          <w:lang w:val="en-US"/>
        </w:rPr>
      </w:pPr>
      <w:r w:rsidRPr="009759D1">
        <w:rPr>
          <w:rFonts w:eastAsia="Calibri" w:cs="Arial"/>
        </w:rPr>
        <w:t xml:space="preserve">Libraries provide free, local access to a range of IT, learning and information resources and activities to schoolchildren of all ages. These include: free computer and internet access; homework clubs; class visits; STEM and code clubs; Makerspaces where children can engage in STEAM </w:t>
      </w:r>
      <w:proofErr w:type="spellStart"/>
      <w:r w:rsidRPr="009759D1">
        <w:rPr>
          <w:rFonts w:eastAsia="Calibri" w:cs="Arial"/>
        </w:rPr>
        <w:t>activities;national</w:t>
      </w:r>
      <w:proofErr w:type="spellEnd"/>
      <w:r w:rsidRPr="009759D1">
        <w:rPr>
          <w:rFonts w:eastAsia="Calibri" w:cs="Arial"/>
        </w:rPr>
        <w:t xml:space="preserve"> reading and learning partnerships such as the Summer Reading Challenge, National Numeracy Day, British Science Week, Holocaust Memorial Day, Empathy Day, Shakespeare Week, World Book Day and Fun Palaces.</w:t>
      </w:r>
    </w:p>
    <w:p w14:paraId="1589CD87" w14:textId="77777777" w:rsidR="00DB4DE4" w:rsidRDefault="00DB4DE4" w:rsidP="00DB4DE4">
      <w:pPr>
        <w:pStyle w:val="ListParagraph"/>
        <w:numPr>
          <w:ilvl w:val="0"/>
          <w:numId w:val="0"/>
        </w:numPr>
        <w:ind w:left="792"/>
        <w:rPr>
          <w:b/>
          <w:bCs/>
          <w:lang w:val="en-US"/>
        </w:rPr>
      </w:pPr>
    </w:p>
    <w:p w14:paraId="3D45AE15" w14:textId="2FBEA423" w:rsidR="7CA52292" w:rsidRPr="004234F7" w:rsidRDefault="098C3114" w:rsidP="20F15064">
      <w:pPr>
        <w:pStyle w:val="ListParagraph"/>
        <w:rPr>
          <w:b/>
          <w:bCs/>
          <w:lang w:val="en-US"/>
        </w:rPr>
      </w:pPr>
      <w:r w:rsidRPr="20F15064">
        <w:rPr>
          <w:rFonts w:eastAsia="Arial" w:cs="Arial"/>
          <w:b/>
          <w:bCs/>
        </w:rPr>
        <w:t>Mission 6:  Skills</w:t>
      </w:r>
    </w:p>
    <w:p w14:paraId="3FAB8FEE" w14:textId="77777777" w:rsidR="004234F7" w:rsidRDefault="004234F7" w:rsidP="004234F7">
      <w:pPr>
        <w:pStyle w:val="ListParagraph"/>
        <w:numPr>
          <w:ilvl w:val="0"/>
          <w:numId w:val="0"/>
        </w:numPr>
        <w:ind w:left="360"/>
        <w:rPr>
          <w:b/>
          <w:bCs/>
          <w:lang w:val="en-US"/>
        </w:rPr>
      </w:pPr>
    </w:p>
    <w:p w14:paraId="0B4EF53B" w14:textId="77777777" w:rsidR="009759D1" w:rsidRPr="009759D1" w:rsidRDefault="14A7D40B" w:rsidP="009759D1">
      <w:pPr>
        <w:pStyle w:val="ListParagraph"/>
        <w:numPr>
          <w:ilvl w:val="1"/>
          <w:numId w:val="1"/>
        </w:numPr>
        <w:ind w:hanging="508"/>
        <w:rPr>
          <w:b/>
          <w:lang w:val="en-US"/>
        </w:rPr>
      </w:pPr>
      <w:r w:rsidRPr="14A7D40B">
        <w:t>More than two million people work in the UK’s creative industries and, before the COVID-19 crisis, the sector was projected to create another million jobs by 2030.</w:t>
      </w:r>
      <w:r>
        <w:t xml:space="preserve"> </w:t>
      </w:r>
      <w:r w:rsidR="7094BA0E" w:rsidRPr="7094BA0E">
        <w:rPr>
          <w:rFonts w:eastAsia="Arial" w:cs="Arial"/>
          <w:lang w:val="en-US"/>
        </w:rPr>
        <w:t xml:space="preserve">The Creative Industries are an engine for economic growth in towns, cities and rural communities right across the UK. </w:t>
      </w:r>
      <w:r w:rsidR="7094BA0E" w:rsidRPr="7094BA0E">
        <w:rPr>
          <w:rFonts w:eastAsia="Arial" w:cs="Arial"/>
        </w:rPr>
        <w:t xml:space="preserve">Prior to COVID-19, they were one of the </w:t>
      </w:r>
      <w:hyperlink r:id="rId17">
        <w:r w:rsidR="7094BA0E" w:rsidRPr="7094BA0E">
          <w:rPr>
            <w:rStyle w:val="Hyperlink"/>
            <w:rFonts w:eastAsia="Arial" w:cs="Arial"/>
          </w:rPr>
          <w:t>fastest growing parts of the economy</w:t>
        </w:r>
      </w:hyperlink>
      <w:r w:rsidR="7094BA0E" w:rsidRPr="7094BA0E">
        <w:rPr>
          <w:rFonts w:eastAsia="Arial" w:cs="Arial"/>
        </w:rPr>
        <w:t xml:space="preserve">, growing at more than 4 times the rate of growth in the economy as a whole. </w:t>
      </w:r>
      <w:r w:rsidR="7094BA0E" w:rsidRPr="7094BA0E">
        <w:rPr>
          <w:rFonts w:eastAsia="Arial" w:cs="Arial"/>
          <w:lang w:val="en-US"/>
        </w:rPr>
        <w:t xml:space="preserve">Creative jobs have also shown themselves to be resistant to automation: </w:t>
      </w:r>
      <w:hyperlink r:id="rId18">
        <w:r w:rsidR="7094BA0E" w:rsidRPr="7094BA0E">
          <w:rPr>
            <w:rStyle w:val="Hyperlink"/>
            <w:rFonts w:eastAsia="Arial" w:cs="Arial"/>
            <w:lang w:val="en-US"/>
          </w:rPr>
          <w:t>r</w:t>
        </w:r>
        <w:proofErr w:type="spellStart"/>
        <w:r w:rsidR="7094BA0E" w:rsidRPr="7094BA0E">
          <w:rPr>
            <w:rStyle w:val="Hyperlink"/>
            <w:rFonts w:eastAsia="Arial" w:cs="Arial"/>
          </w:rPr>
          <w:t>esearch</w:t>
        </w:r>
        <w:proofErr w:type="spellEnd"/>
      </w:hyperlink>
      <w:r w:rsidR="7094BA0E" w:rsidRPr="7094BA0E">
        <w:rPr>
          <w:rFonts w:eastAsia="Arial" w:cs="Arial"/>
        </w:rPr>
        <w:t xml:space="preserve"> has shown that jobs asking for creativity are also much more likely to grow as a percentage of the workforce by the year 2030 -  use of ‘creativity’ in a job description is consistently the most significant predictor for an occupation’s chance of growing.</w:t>
      </w:r>
    </w:p>
    <w:p w14:paraId="3AA9CD89" w14:textId="77777777" w:rsidR="009759D1" w:rsidRPr="009759D1" w:rsidRDefault="7094BA0E" w:rsidP="009759D1">
      <w:pPr>
        <w:pStyle w:val="ListParagraph"/>
        <w:numPr>
          <w:ilvl w:val="1"/>
          <w:numId w:val="1"/>
        </w:numPr>
        <w:ind w:hanging="508"/>
        <w:rPr>
          <w:b/>
          <w:lang w:val="en-US"/>
        </w:rPr>
      </w:pPr>
      <w:r w:rsidRPr="009759D1">
        <w:rPr>
          <w:rFonts w:eastAsia="Arial" w:cs="Arial"/>
          <w:lang w:val="en-US"/>
        </w:rPr>
        <w:t xml:space="preserve">As well as having significant potential to lead our national economic recovery from COVID-19, the creative industries could play an important role in the </w:t>
      </w:r>
      <w:r w:rsidR="2016ECBC" w:rsidRPr="009759D1">
        <w:rPr>
          <w:rFonts w:eastAsia="Arial" w:cs="Arial"/>
          <w:lang w:val="en-US"/>
        </w:rPr>
        <w:t xml:space="preserve">levelling </w:t>
      </w:r>
      <w:r w:rsidR="7560A34D" w:rsidRPr="009759D1">
        <w:rPr>
          <w:rFonts w:eastAsia="Arial" w:cs="Arial"/>
          <w:lang w:val="en-US"/>
        </w:rPr>
        <w:t>up</w:t>
      </w:r>
      <w:r w:rsidRPr="009759D1">
        <w:rPr>
          <w:rFonts w:eastAsia="Arial" w:cs="Arial"/>
          <w:lang w:val="en-US"/>
        </w:rPr>
        <w:t xml:space="preserve"> agenda.  They are geographically spread, with </w:t>
      </w:r>
      <w:hyperlink r:id="rId19">
        <w:r w:rsidRPr="009759D1">
          <w:rPr>
            <w:rStyle w:val="Hyperlink"/>
            <w:rFonts w:eastAsia="Arial" w:cs="Arial"/>
            <w:lang w:val="en-US"/>
          </w:rPr>
          <w:t>over 700 different creative micro clusters across the UK</w:t>
        </w:r>
      </w:hyperlink>
      <w:r w:rsidRPr="009759D1">
        <w:rPr>
          <w:rFonts w:eastAsia="Arial" w:cs="Arial"/>
          <w:lang w:val="en-US"/>
        </w:rPr>
        <w:t>, many of which are highly localized and uniquely rooted in place.</w:t>
      </w:r>
    </w:p>
    <w:p w14:paraId="1DB42EB3" w14:textId="33BD86A9" w:rsidR="7CA52292" w:rsidRPr="004234F7" w:rsidRDefault="5063B398" w:rsidP="009759D1">
      <w:pPr>
        <w:pStyle w:val="ListParagraph"/>
        <w:numPr>
          <w:ilvl w:val="1"/>
          <w:numId w:val="1"/>
        </w:numPr>
        <w:ind w:hanging="508"/>
        <w:rPr>
          <w:b/>
          <w:lang w:val="en-US"/>
        </w:rPr>
      </w:pPr>
      <w:r w:rsidRPr="009759D1">
        <w:rPr>
          <w:rFonts w:eastAsia="Calibri"/>
          <w:lang w:val="en-US"/>
        </w:rPr>
        <w:t xml:space="preserve">Local libraries provide a range of facilities and support to help job seekers to find work and improve their employment skills. The Business and IP </w:t>
      </w:r>
      <w:proofErr w:type="spellStart"/>
      <w:r w:rsidRPr="009759D1">
        <w:rPr>
          <w:rFonts w:eastAsia="Calibri"/>
          <w:lang w:val="en-US"/>
        </w:rPr>
        <w:t>Centres</w:t>
      </w:r>
      <w:proofErr w:type="spellEnd"/>
      <w:r w:rsidRPr="009759D1">
        <w:rPr>
          <w:rFonts w:eastAsia="Calibri"/>
          <w:lang w:val="en-US"/>
        </w:rPr>
        <w:t xml:space="preserve"> in libraries are physical hubs where people can come together to learn, network and access free and low-cost information and support in protecting and </w:t>
      </w:r>
      <w:proofErr w:type="spellStart"/>
      <w:r w:rsidRPr="009759D1">
        <w:rPr>
          <w:rFonts w:eastAsia="Calibri"/>
          <w:lang w:val="en-US"/>
        </w:rPr>
        <w:t>commercialising</w:t>
      </w:r>
      <w:proofErr w:type="spellEnd"/>
      <w:r w:rsidRPr="009759D1">
        <w:rPr>
          <w:rFonts w:eastAsia="Calibri"/>
          <w:lang w:val="en-US"/>
        </w:rPr>
        <w:t xml:space="preserve"> a business idea. Business and IP </w:t>
      </w:r>
      <w:proofErr w:type="spellStart"/>
      <w:r w:rsidRPr="009759D1">
        <w:rPr>
          <w:rFonts w:eastAsia="Calibri"/>
          <w:lang w:val="en-US"/>
        </w:rPr>
        <w:t>Centres</w:t>
      </w:r>
      <w:proofErr w:type="spellEnd"/>
      <w:r w:rsidRPr="009759D1">
        <w:rPr>
          <w:rFonts w:eastAsia="Calibri"/>
          <w:lang w:val="en-US"/>
        </w:rPr>
        <w:t xml:space="preserve"> in libraries have </w:t>
      </w:r>
      <w:hyperlink r:id="rId20">
        <w:r w:rsidRPr="009759D1">
          <w:rPr>
            <w:rStyle w:val="Hyperlink"/>
            <w:rFonts w:eastAsia="Calibri"/>
            <w:lang w:val="en-US"/>
          </w:rPr>
          <w:t>achieved remarkable successes</w:t>
        </w:r>
      </w:hyperlink>
      <w:r w:rsidRPr="009759D1">
        <w:rPr>
          <w:rFonts w:eastAsia="Calibri"/>
          <w:lang w:val="en-US"/>
        </w:rPr>
        <w:t>. Over a three year period they:</w:t>
      </w:r>
    </w:p>
    <w:p w14:paraId="08E3DC23" w14:textId="77777777" w:rsidR="004234F7" w:rsidRPr="009759D1" w:rsidRDefault="004234F7" w:rsidP="004234F7">
      <w:pPr>
        <w:pStyle w:val="ListParagraph"/>
        <w:numPr>
          <w:ilvl w:val="0"/>
          <w:numId w:val="0"/>
        </w:numPr>
        <w:ind w:left="792"/>
        <w:rPr>
          <w:b/>
          <w:lang w:val="en-US"/>
        </w:rPr>
      </w:pPr>
    </w:p>
    <w:p w14:paraId="2D0C0F4B" w14:textId="77777777" w:rsidR="009759D1" w:rsidRPr="009759D1" w:rsidRDefault="5063B398" w:rsidP="009759D1">
      <w:pPr>
        <w:pStyle w:val="ListParagraph"/>
        <w:numPr>
          <w:ilvl w:val="2"/>
          <w:numId w:val="12"/>
        </w:numPr>
        <w:rPr>
          <w:rFonts w:asciiTheme="minorHAnsi" w:eastAsiaTheme="minorEastAsia" w:hAnsiTheme="minorHAnsi"/>
        </w:rPr>
      </w:pPr>
      <w:r>
        <w:t>Supported the creation of 12,288 businesses, 47% of which were in the North.</w:t>
      </w:r>
    </w:p>
    <w:p w14:paraId="06C58BF1" w14:textId="77777777" w:rsidR="009759D1" w:rsidRPr="009759D1" w:rsidRDefault="5063B398" w:rsidP="009759D1">
      <w:pPr>
        <w:pStyle w:val="ListParagraph"/>
        <w:numPr>
          <w:ilvl w:val="2"/>
          <w:numId w:val="12"/>
        </w:numPr>
        <w:rPr>
          <w:rFonts w:asciiTheme="minorHAnsi" w:eastAsiaTheme="minorEastAsia" w:hAnsiTheme="minorHAnsi"/>
        </w:rPr>
      </w:pPr>
      <w:r>
        <w:t>Helped businesses create an estimated total of 7843 new FTE jobs.</w:t>
      </w:r>
    </w:p>
    <w:p w14:paraId="1CDDA9D8" w14:textId="77777777" w:rsidR="009759D1" w:rsidRPr="009759D1" w:rsidRDefault="5063B398" w:rsidP="009759D1">
      <w:pPr>
        <w:pStyle w:val="ListParagraph"/>
        <w:numPr>
          <w:ilvl w:val="2"/>
          <w:numId w:val="12"/>
        </w:numPr>
        <w:rPr>
          <w:rFonts w:asciiTheme="minorHAnsi" w:eastAsiaTheme="minorEastAsia" w:hAnsiTheme="minorHAnsi"/>
        </w:rPr>
      </w:pPr>
      <w:r>
        <w:t>Boosted local economies - the net additional Gross Value Added for Business &amp; IP Centre supported businesses was an estimated £78 million.</w:t>
      </w:r>
    </w:p>
    <w:p w14:paraId="755E75DB" w14:textId="77777777" w:rsidR="009759D1" w:rsidRPr="009759D1" w:rsidRDefault="5063B398" w:rsidP="009759D1">
      <w:pPr>
        <w:pStyle w:val="ListParagraph"/>
        <w:numPr>
          <w:ilvl w:val="2"/>
          <w:numId w:val="12"/>
        </w:numPr>
        <w:rPr>
          <w:rFonts w:asciiTheme="minorHAnsi" w:eastAsiaTheme="minorEastAsia" w:hAnsiTheme="minorHAnsi"/>
        </w:rPr>
      </w:pPr>
      <w:r>
        <w:lastRenderedPageBreak/>
        <w:t>Raised £6.95 for every £1 invested.</w:t>
      </w:r>
    </w:p>
    <w:p w14:paraId="355CA8A6" w14:textId="77777777" w:rsidR="009759D1" w:rsidRPr="009759D1" w:rsidRDefault="5063B398" w:rsidP="009759D1">
      <w:pPr>
        <w:pStyle w:val="ListParagraph"/>
        <w:numPr>
          <w:ilvl w:val="2"/>
          <w:numId w:val="12"/>
        </w:numPr>
        <w:rPr>
          <w:rFonts w:asciiTheme="minorHAnsi" w:eastAsiaTheme="minorEastAsia" w:hAnsiTheme="minorHAnsi"/>
        </w:rPr>
      </w:pPr>
      <w:r>
        <w:t>Approximately 10% of all users were unemployed or looking for work when they first received support. Just under half of them are now running their own business (46%) while a further quarter (23%) of them are now in employment.</w:t>
      </w:r>
    </w:p>
    <w:p w14:paraId="24E6EF69" w14:textId="4A7B6610" w:rsidR="004234F7" w:rsidRPr="004234F7" w:rsidRDefault="5063B398" w:rsidP="004234F7">
      <w:pPr>
        <w:pStyle w:val="ListParagraph"/>
        <w:numPr>
          <w:ilvl w:val="2"/>
          <w:numId w:val="12"/>
        </w:numPr>
        <w:rPr>
          <w:rFonts w:asciiTheme="minorHAnsi" w:eastAsiaTheme="minorEastAsia" w:hAnsiTheme="minorHAnsi"/>
        </w:rPr>
      </w:pPr>
      <w:r>
        <w:t>22% of users are drawn from the top 20% of the most deprived areas in the UK</w:t>
      </w:r>
      <w:r w:rsidR="004234F7">
        <w:t>.</w:t>
      </w:r>
    </w:p>
    <w:p w14:paraId="751C4E5B" w14:textId="1B1F9013" w:rsidR="7CA52292" w:rsidRPr="004234F7" w:rsidRDefault="5063B398" w:rsidP="004234F7">
      <w:pPr>
        <w:pStyle w:val="ListParagraph"/>
        <w:numPr>
          <w:ilvl w:val="2"/>
          <w:numId w:val="12"/>
        </w:numPr>
        <w:rPr>
          <w:rFonts w:asciiTheme="minorHAnsi" w:eastAsiaTheme="minorEastAsia" w:hAnsiTheme="minorHAnsi"/>
        </w:rPr>
      </w:pPr>
      <w:r>
        <w:t>Of the users who went on to start a new business, 55% were women (65% in London), 31% were from a global majority background (44% in London) and 17% had a disability.</w:t>
      </w:r>
    </w:p>
    <w:p w14:paraId="006F6724" w14:textId="77777777" w:rsidR="001B3E67" w:rsidRDefault="001B3E67" w:rsidP="001B3E67">
      <w:pPr>
        <w:pStyle w:val="ListParagraph"/>
        <w:numPr>
          <w:ilvl w:val="0"/>
          <w:numId w:val="0"/>
        </w:numPr>
        <w:ind w:left="720"/>
        <w:rPr>
          <w:rFonts w:asciiTheme="minorHAnsi" w:eastAsiaTheme="minorEastAsia" w:hAnsiTheme="minorHAnsi"/>
        </w:rPr>
      </w:pPr>
    </w:p>
    <w:p w14:paraId="1C809E23" w14:textId="0353E4D2" w:rsidR="009759D1" w:rsidRDefault="003E6836" w:rsidP="009759D1">
      <w:pPr>
        <w:pStyle w:val="ListParagraph"/>
      </w:pPr>
      <w:r>
        <w:t xml:space="preserve">More than </w:t>
      </w:r>
      <w:hyperlink r:id="rId21" w:history="1">
        <w:r w:rsidR="0069789A" w:rsidRPr="00A52242">
          <w:rPr>
            <w:rStyle w:val="Hyperlink"/>
          </w:rPr>
          <w:t>585,000 people worked in the</w:t>
        </w:r>
        <w:r w:rsidR="00E56551" w:rsidRPr="00A52242">
          <w:rPr>
            <w:rStyle w:val="Hyperlink"/>
          </w:rPr>
          <w:t xml:space="preserve"> sports and physical activity labour market</w:t>
        </w:r>
      </w:hyperlink>
      <w:r w:rsidR="00E56551">
        <w:t xml:space="preserve"> </w:t>
      </w:r>
      <w:r w:rsidR="00A52242">
        <w:t xml:space="preserve">prior to the pandemic </w:t>
      </w:r>
      <w:r w:rsidR="0004119C">
        <w:t>covered 585,000 roles</w:t>
      </w:r>
      <w:r w:rsidR="00812CB0">
        <w:t>.</w:t>
      </w:r>
      <w:r w:rsidR="00E6384E">
        <w:t xml:space="preserve"> </w:t>
      </w:r>
      <w:r w:rsidR="00DA6F29">
        <w:t>It makes the following significant contributions</w:t>
      </w:r>
      <w:r w:rsidR="00781B45">
        <w:t xml:space="preserve"> </w:t>
      </w:r>
      <w:r w:rsidR="00AE3BC2">
        <w:t>to economic growth and levelling up</w:t>
      </w:r>
      <w:r w:rsidR="00DA6F29">
        <w:t xml:space="preserve">: </w:t>
      </w:r>
    </w:p>
    <w:p w14:paraId="447DEE9B" w14:textId="77777777" w:rsidR="004234F7" w:rsidRDefault="004234F7" w:rsidP="004234F7">
      <w:pPr>
        <w:pStyle w:val="ListParagraph"/>
        <w:numPr>
          <w:ilvl w:val="0"/>
          <w:numId w:val="0"/>
        </w:numPr>
        <w:ind w:left="360"/>
      </w:pPr>
    </w:p>
    <w:p w14:paraId="45A18411" w14:textId="4DABF1F2" w:rsidR="009759D1" w:rsidRDefault="00A240D8" w:rsidP="009759D1">
      <w:pPr>
        <w:pStyle w:val="ListParagraph"/>
        <w:numPr>
          <w:ilvl w:val="1"/>
          <w:numId w:val="13"/>
        </w:numPr>
        <w:ind w:left="851" w:hanging="567"/>
      </w:pPr>
      <w:r>
        <w:t>F</w:t>
      </w:r>
      <w:r w:rsidR="0004119C">
        <w:t>rom 2003 to 2017 the sector saw</w:t>
      </w:r>
      <w:r>
        <w:t xml:space="preserve"> </w:t>
      </w:r>
      <w:r w:rsidR="0004119C">
        <w:t>growth of 42 per cent, adding 129,000 net new job</w:t>
      </w:r>
      <w:r w:rsidR="009759D1">
        <w:t>s</w:t>
      </w:r>
    </w:p>
    <w:p w14:paraId="034C672F" w14:textId="77777777" w:rsidR="009759D1" w:rsidRDefault="00AE3BC2" w:rsidP="009759D1">
      <w:pPr>
        <w:pStyle w:val="ListParagraph"/>
        <w:numPr>
          <w:ilvl w:val="1"/>
          <w:numId w:val="13"/>
        </w:numPr>
        <w:ind w:left="851" w:hanging="567"/>
      </w:pPr>
      <w:r>
        <w:t xml:space="preserve">Regional sporting tournaments such as the </w:t>
      </w:r>
      <w:r w:rsidR="00094EAD">
        <w:t xml:space="preserve">Birmingham </w:t>
      </w:r>
      <w:r>
        <w:t>Commonwealth Games</w:t>
      </w:r>
      <w:r w:rsidR="00094EAD">
        <w:t xml:space="preserve"> can help to drive growth. For example, f</w:t>
      </w:r>
      <w:r w:rsidR="009E5207">
        <w:t xml:space="preserve">ollowing a pause in growth </w:t>
      </w:r>
      <w:r w:rsidR="00186E34">
        <w:t xml:space="preserve">in the sector </w:t>
      </w:r>
      <w:r w:rsidR="009E5207">
        <w:t xml:space="preserve">due to the recession, </w:t>
      </w:r>
      <w:r w:rsidR="00B37A27">
        <w:t>the success of the 2012 London Olympics</w:t>
      </w:r>
      <w:r w:rsidR="0004119C">
        <w:t xml:space="preserve"> signalled a period of 4 per cent average</w:t>
      </w:r>
      <w:r w:rsidR="00F27C02">
        <w:t xml:space="preserve"> </w:t>
      </w:r>
      <w:r w:rsidR="00501B30">
        <w:t>annual growth and 78,000 net new jobs over the following five years.</w:t>
      </w:r>
    </w:p>
    <w:p w14:paraId="4DCA66BE" w14:textId="717A7E4E" w:rsidR="00607EC5" w:rsidRDefault="00011882" w:rsidP="009759D1">
      <w:pPr>
        <w:pStyle w:val="ListParagraph"/>
        <w:numPr>
          <w:ilvl w:val="1"/>
          <w:numId w:val="13"/>
        </w:numPr>
        <w:ind w:left="851" w:hanging="567"/>
      </w:pPr>
      <w:r>
        <w:t>34 per cent of jobs are held by 16 to 24 year old</w:t>
      </w:r>
      <w:r w:rsidR="00607EC5">
        <w:t xml:space="preserve">s, notably by males. </w:t>
      </w:r>
    </w:p>
    <w:p w14:paraId="67CF7AC6" w14:textId="77777777" w:rsidR="00981E10" w:rsidRDefault="00981E10" w:rsidP="00981E10">
      <w:pPr>
        <w:pStyle w:val="ListParagraph"/>
        <w:numPr>
          <w:ilvl w:val="0"/>
          <w:numId w:val="0"/>
        </w:numPr>
        <w:ind w:left="360"/>
      </w:pPr>
    </w:p>
    <w:p w14:paraId="609651A4" w14:textId="5BDD0A3B" w:rsidR="00D86DE0" w:rsidRDefault="00257756" w:rsidP="001B3E67">
      <w:pPr>
        <w:pStyle w:val="ListParagraph"/>
      </w:pPr>
      <w:r>
        <w:t>The sport and leisure sector</w:t>
      </w:r>
      <w:r w:rsidR="00E51CA9">
        <w:t xml:space="preserve"> can contribute to the development of graduate careers and apprenticeships. It</w:t>
      </w:r>
      <w:r>
        <w:t xml:space="preserve"> is </w:t>
      </w:r>
      <w:r w:rsidR="00E51CA9">
        <w:t xml:space="preserve">currently </w:t>
      </w:r>
      <w:r>
        <w:t xml:space="preserve">facing recruitment and retention challenges with an average size Trust averaging 700 hours unfilled (Community Leisure UK). </w:t>
      </w:r>
      <w:r w:rsidR="00B74A2C">
        <w:t xml:space="preserve">The sector is moving towards </w:t>
      </w:r>
      <w:r w:rsidR="005A3B1C">
        <w:t>align</w:t>
      </w:r>
      <w:r w:rsidR="00B74A2C">
        <w:t>ing</w:t>
      </w:r>
      <w:r w:rsidR="005A3B1C">
        <w:t xml:space="preserve"> more closely with </w:t>
      </w:r>
      <w:r w:rsidR="001F53DC">
        <w:t xml:space="preserve">the health sector </w:t>
      </w:r>
      <w:r w:rsidR="00B74A2C">
        <w:t xml:space="preserve">presenting increased </w:t>
      </w:r>
      <w:r w:rsidR="00C225F7">
        <w:t xml:space="preserve">employment </w:t>
      </w:r>
      <w:r w:rsidR="00B74A2C">
        <w:t>opportunities</w:t>
      </w:r>
      <w:r w:rsidR="00C225F7">
        <w:t>, skills development and improved career pathway</w:t>
      </w:r>
      <w:r w:rsidR="008F6094">
        <w:t xml:space="preserve"> and addressing </w:t>
      </w:r>
      <w:hyperlink r:id="rId22" w:history="1">
        <w:r w:rsidR="004A4ED6" w:rsidRPr="004A4ED6">
          <w:rPr>
            <w:rStyle w:val="Hyperlink"/>
          </w:rPr>
          <w:t xml:space="preserve">industry </w:t>
        </w:r>
        <w:r w:rsidR="008F6094" w:rsidRPr="004A4ED6">
          <w:rPr>
            <w:rStyle w:val="Hyperlink"/>
          </w:rPr>
          <w:t>shortages in key roles such as swim teachers</w:t>
        </w:r>
      </w:hyperlink>
      <w:r w:rsidR="008F6094">
        <w:t xml:space="preserve"> and lifeguards. </w:t>
      </w:r>
    </w:p>
    <w:p w14:paraId="49DE5166" w14:textId="77777777" w:rsidR="007F220B" w:rsidRDefault="007F220B" w:rsidP="007F220B">
      <w:pPr>
        <w:pStyle w:val="ListParagraph"/>
        <w:numPr>
          <w:ilvl w:val="0"/>
          <w:numId w:val="0"/>
        </w:numPr>
        <w:ind w:left="360"/>
      </w:pPr>
    </w:p>
    <w:p w14:paraId="057FAF1A" w14:textId="4E4B04F0" w:rsidR="00120822" w:rsidRDefault="001B3E67" w:rsidP="004234F7">
      <w:pPr>
        <w:pStyle w:val="ListParagraph"/>
      </w:pPr>
      <w:r>
        <w:t xml:space="preserve">The visitor economy provides a crucial entry level opportunity for </w:t>
      </w:r>
      <w:r w:rsidR="0076005A">
        <w:t xml:space="preserve">young people, allowing them to develop skills, often in conjunction with part time study. </w:t>
      </w:r>
      <w:r w:rsidR="00435BF7">
        <w:t>This is identified</w:t>
      </w:r>
      <w:r w:rsidR="00120822">
        <w:t xml:space="preserve"> as a particular priority for areas with a lower skills base and fewer highly skilled employers. </w:t>
      </w:r>
      <w:r w:rsidR="00CA5040">
        <w:t xml:space="preserve">There is a prevailing narrative that hospitality jobs do not provide a career path or well-paid work which will need to be challenged if the visitor economy is to play a significant role in this mission – the Government’s Tourism Recovery Plan recognises this and makes commitments to improving </w:t>
      </w:r>
      <w:r w:rsidR="00DB4DE4">
        <w:t xml:space="preserve">skills delivery for hospitality and the visitor economy. </w:t>
      </w:r>
    </w:p>
    <w:p w14:paraId="6C6806B2" w14:textId="77777777" w:rsidR="00120822" w:rsidRDefault="00120822" w:rsidP="00120822">
      <w:pPr>
        <w:pStyle w:val="ListParagraph"/>
        <w:numPr>
          <w:ilvl w:val="0"/>
          <w:numId w:val="0"/>
        </w:numPr>
        <w:ind w:left="360"/>
      </w:pPr>
    </w:p>
    <w:p w14:paraId="6B4647F3" w14:textId="2E37917F" w:rsidR="00D77280" w:rsidRDefault="00695A86" w:rsidP="00695A86">
      <w:pPr>
        <w:pStyle w:val="ListParagraph"/>
        <w:rPr>
          <w:rFonts w:eastAsia="Arial" w:cs="Arial"/>
        </w:rPr>
      </w:pPr>
      <w:r w:rsidRPr="00695A86">
        <w:rPr>
          <w:rFonts w:eastAsia="Arial" w:cs="Arial"/>
          <w:b/>
          <w:bCs/>
        </w:rPr>
        <w:t>Mission 7 Narrowing life expectancy gap</w:t>
      </w:r>
      <w:r w:rsidRPr="00695A86">
        <w:rPr>
          <w:rFonts w:eastAsia="Arial" w:cs="Arial"/>
        </w:rPr>
        <w:t xml:space="preserve">: </w:t>
      </w:r>
    </w:p>
    <w:p w14:paraId="24D56FCF" w14:textId="77777777" w:rsidR="004234F7" w:rsidRDefault="004234F7" w:rsidP="004234F7">
      <w:pPr>
        <w:pStyle w:val="ListParagraph"/>
        <w:numPr>
          <w:ilvl w:val="0"/>
          <w:numId w:val="0"/>
        </w:numPr>
        <w:ind w:left="360"/>
        <w:rPr>
          <w:rFonts w:eastAsia="Arial" w:cs="Arial"/>
        </w:rPr>
      </w:pPr>
    </w:p>
    <w:p w14:paraId="338E885B" w14:textId="77777777" w:rsidR="00DD53F1" w:rsidRPr="00DD53F1" w:rsidRDefault="00695A86" w:rsidP="00DD53F1">
      <w:pPr>
        <w:pStyle w:val="ListParagraph"/>
        <w:numPr>
          <w:ilvl w:val="1"/>
          <w:numId w:val="1"/>
        </w:numPr>
        <w:ind w:left="993" w:hanging="633"/>
      </w:pPr>
      <w:r w:rsidRPr="00695A86">
        <w:rPr>
          <w:rFonts w:eastAsia="Arial" w:cs="Arial"/>
        </w:rPr>
        <w:t>Public leisure saves the NHS £32.8 million per month due to reduced demand, and increases long-term mobility and independence among older people. (</w:t>
      </w:r>
      <w:proofErr w:type="spellStart"/>
      <w:r w:rsidRPr="00695A86">
        <w:rPr>
          <w:rFonts w:eastAsia="Arial" w:cs="Arial"/>
        </w:rPr>
        <w:t>UKactive</w:t>
      </w:r>
      <w:proofErr w:type="spellEnd"/>
      <w:r w:rsidRPr="00695A86">
        <w:rPr>
          <w:rFonts w:eastAsia="Arial" w:cs="Arial"/>
        </w:rPr>
        <w:t>)</w:t>
      </w:r>
      <w:r w:rsidR="000708A3">
        <w:rPr>
          <w:rFonts w:eastAsia="Calibri" w:cs="Arial"/>
        </w:rPr>
        <w:t>. P</w:t>
      </w:r>
      <w:r w:rsidR="000708A3" w:rsidRPr="005F7515">
        <w:rPr>
          <w:rFonts w:eastAsia="Calibri" w:cs="Arial"/>
        </w:rPr>
        <w:t xml:space="preserve">hysical activity plays an important role in preventing a number of </w:t>
      </w:r>
      <w:r w:rsidR="000708A3" w:rsidRPr="005F7515">
        <w:rPr>
          <w:rFonts w:eastAsia="Calibri" w:cs="Arial"/>
        </w:rPr>
        <w:lastRenderedPageBreak/>
        <w:t>serious physical</w:t>
      </w:r>
      <w:r w:rsidR="000708A3">
        <w:rPr>
          <w:rFonts w:eastAsia="Calibri" w:cs="Arial"/>
        </w:rPr>
        <w:t xml:space="preserve"> </w:t>
      </w:r>
      <w:r w:rsidR="000708A3" w:rsidRPr="005F7515">
        <w:rPr>
          <w:rFonts w:eastAsia="Calibri" w:cs="Arial"/>
        </w:rPr>
        <w:t>and mental health conditions, with the research showing this had a value of £9.5bn. Of this amount,</w:t>
      </w:r>
      <w:r w:rsidR="000708A3">
        <w:rPr>
          <w:rFonts w:eastAsia="Calibri" w:cs="Arial"/>
        </w:rPr>
        <w:t xml:space="preserve"> </w:t>
      </w:r>
      <w:r w:rsidR="000708A3" w:rsidRPr="005F7515">
        <w:rPr>
          <w:rFonts w:eastAsia="Calibri" w:cs="Arial"/>
        </w:rPr>
        <w:t>£5.2bn was in healthcare savings, while £1.7bn was in social care savings</w:t>
      </w:r>
      <w:r w:rsidR="005376E4">
        <w:rPr>
          <w:rFonts w:eastAsia="Calibri" w:cs="Arial"/>
        </w:rPr>
        <w:t xml:space="preserve"> (Sport England)</w:t>
      </w:r>
    </w:p>
    <w:p w14:paraId="5838634D" w14:textId="77777777" w:rsidR="00DD53F1" w:rsidRPr="00DD53F1" w:rsidRDefault="003942B2" w:rsidP="00DD53F1">
      <w:pPr>
        <w:pStyle w:val="ListParagraph"/>
        <w:numPr>
          <w:ilvl w:val="1"/>
          <w:numId w:val="1"/>
        </w:numPr>
        <w:ind w:left="993" w:hanging="633"/>
      </w:pPr>
      <w:r w:rsidRPr="00DD53F1">
        <w:rPr>
          <w:rFonts w:eastAsia="Arial" w:cs="Arial"/>
        </w:rPr>
        <w:t xml:space="preserve">Delivery of learn to swim programmes </w:t>
      </w:r>
      <w:r w:rsidR="00D40C2D" w:rsidRPr="00DD53F1">
        <w:rPr>
          <w:rFonts w:eastAsia="Arial" w:cs="Arial"/>
        </w:rPr>
        <w:t>in public pools can help to increase water safety and swimming skills</w:t>
      </w:r>
      <w:r w:rsidR="002A2F45" w:rsidRPr="00DD53F1">
        <w:rPr>
          <w:rFonts w:eastAsia="Arial" w:cs="Arial"/>
        </w:rPr>
        <w:t xml:space="preserve">, helping to </w:t>
      </w:r>
      <w:r w:rsidR="00B441F0" w:rsidRPr="00DD53F1">
        <w:rPr>
          <w:rFonts w:eastAsia="Arial" w:cs="Arial"/>
        </w:rPr>
        <w:t>prevent</w:t>
      </w:r>
      <w:r w:rsidR="00B876FB" w:rsidRPr="00DD53F1">
        <w:rPr>
          <w:rFonts w:eastAsia="Arial" w:cs="Arial"/>
        </w:rPr>
        <w:t xml:space="preserve"> </w:t>
      </w:r>
      <w:r w:rsidR="0049467E" w:rsidRPr="00DD53F1">
        <w:rPr>
          <w:rFonts w:eastAsia="Arial" w:cs="Arial"/>
        </w:rPr>
        <w:t>drowning</w:t>
      </w:r>
      <w:r w:rsidR="00A97C78" w:rsidRPr="00DD53F1">
        <w:rPr>
          <w:rFonts w:eastAsia="Arial" w:cs="Arial"/>
        </w:rPr>
        <w:t xml:space="preserve">s which has increased </w:t>
      </w:r>
      <w:r w:rsidR="009816F7" w:rsidRPr="00DD53F1">
        <w:rPr>
          <w:rFonts w:eastAsia="Arial" w:cs="Arial"/>
        </w:rPr>
        <w:t>from 270 in England and Wales</w:t>
      </w:r>
      <w:r w:rsidR="00390B75" w:rsidRPr="00DD53F1">
        <w:rPr>
          <w:rFonts w:eastAsia="Arial" w:cs="Arial"/>
        </w:rPr>
        <w:t xml:space="preserve"> in 2019</w:t>
      </w:r>
      <w:r w:rsidR="009816F7" w:rsidRPr="00DD53F1">
        <w:rPr>
          <w:rFonts w:eastAsia="Arial" w:cs="Arial"/>
        </w:rPr>
        <w:t xml:space="preserve"> </w:t>
      </w:r>
      <w:r w:rsidR="00A97C78" w:rsidRPr="00DD53F1">
        <w:rPr>
          <w:rFonts w:eastAsia="Arial" w:cs="Arial"/>
        </w:rPr>
        <w:t xml:space="preserve">to </w:t>
      </w:r>
      <w:r w:rsidR="00587095" w:rsidRPr="00DD53F1">
        <w:rPr>
          <w:rFonts w:eastAsia="Arial" w:cs="Arial"/>
        </w:rPr>
        <w:t xml:space="preserve">506 </w:t>
      </w:r>
      <w:r w:rsidR="00A97C78" w:rsidRPr="00DD53F1">
        <w:rPr>
          <w:rFonts w:eastAsia="Arial" w:cs="Arial"/>
        </w:rPr>
        <w:t>in 2020</w:t>
      </w:r>
    </w:p>
    <w:p w14:paraId="2B80E393" w14:textId="77777777" w:rsidR="00DD53F1" w:rsidRPr="00DD53F1" w:rsidRDefault="1A32F9DC" w:rsidP="00DD53F1">
      <w:pPr>
        <w:pStyle w:val="ListParagraph"/>
        <w:numPr>
          <w:ilvl w:val="1"/>
          <w:numId w:val="1"/>
        </w:numPr>
        <w:ind w:left="993" w:hanging="633"/>
      </w:pPr>
      <w:r w:rsidRPr="00DD53F1">
        <w:rPr>
          <w:rFonts w:eastAsia="Arial" w:cs="Arial"/>
        </w:rPr>
        <w:t xml:space="preserve">Participation in the arts </w:t>
      </w:r>
      <w:hyperlink r:id="rId23">
        <w:r w:rsidRPr="00DD53F1">
          <w:rPr>
            <w:rStyle w:val="Hyperlink"/>
            <w:rFonts w:eastAsia="Arial" w:cs="Arial"/>
          </w:rPr>
          <w:t>has been shown</w:t>
        </w:r>
      </w:hyperlink>
      <w:r w:rsidRPr="00DD53F1">
        <w:rPr>
          <w:rFonts w:eastAsia="Arial" w:cs="Arial"/>
        </w:rPr>
        <w:t xml:space="preserve"> to </w:t>
      </w:r>
      <w:r w:rsidR="6365EEF5" w:rsidRPr="00DD53F1">
        <w:rPr>
          <w:rFonts w:eastAsia="Arial" w:cs="Arial"/>
        </w:rPr>
        <w:t xml:space="preserve">contribute to better </w:t>
      </w:r>
      <w:r w:rsidRPr="00DD53F1">
        <w:rPr>
          <w:rFonts w:eastAsia="Arial" w:cs="Arial"/>
        </w:rPr>
        <w:t>lifestyle choices. For example, after</w:t>
      </w:r>
      <w:r w:rsidR="3D21C693" w:rsidRPr="00DD53F1">
        <w:rPr>
          <w:rFonts w:eastAsia="Arial" w:cs="Arial"/>
        </w:rPr>
        <w:t xml:space="preserve"> engaging with the arts</w:t>
      </w:r>
      <w:r w:rsidRPr="00DD53F1">
        <w:rPr>
          <w:rFonts w:eastAsia="Arial" w:cs="Arial"/>
        </w:rPr>
        <w:t>,</w:t>
      </w:r>
      <w:r w:rsidR="3D21C693" w:rsidRPr="00DD53F1">
        <w:rPr>
          <w:rFonts w:eastAsia="Arial" w:cs="Arial"/>
        </w:rPr>
        <w:t xml:space="preserve"> people in deprived communities in London ate more healthily engaged in more physical activity enjoyed greater wellbeing.</w:t>
      </w:r>
    </w:p>
    <w:p w14:paraId="46A9E470" w14:textId="4CC502AD" w:rsidR="004234F7" w:rsidRPr="004234F7" w:rsidRDefault="5063B398" w:rsidP="004234F7">
      <w:pPr>
        <w:pStyle w:val="ListParagraph"/>
        <w:numPr>
          <w:ilvl w:val="1"/>
          <w:numId w:val="1"/>
        </w:numPr>
        <w:ind w:left="993" w:hanging="633"/>
      </w:pPr>
      <w:r w:rsidRPr="00DD53F1">
        <w:rPr>
          <w:rFonts w:eastAsia="Arial" w:cs="Arial"/>
          <w:color w:val="000000" w:themeColor="text1"/>
        </w:rPr>
        <w:t>Evidence of the effectiveness of social prescribing, including referrals to culture and sport activities is emerging. UK evaluations have previously reported:</w:t>
      </w:r>
    </w:p>
    <w:p w14:paraId="3D048A6E" w14:textId="77777777" w:rsidR="004234F7" w:rsidRPr="004234F7" w:rsidRDefault="004234F7" w:rsidP="004234F7">
      <w:pPr>
        <w:pStyle w:val="ListParagraph"/>
        <w:numPr>
          <w:ilvl w:val="0"/>
          <w:numId w:val="0"/>
        </w:numPr>
        <w:ind w:left="993"/>
      </w:pPr>
    </w:p>
    <w:p w14:paraId="50EF3A73" w14:textId="77777777" w:rsidR="004234F7" w:rsidRDefault="009D2BB0" w:rsidP="004234F7">
      <w:pPr>
        <w:pStyle w:val="ListParagraph"/>
        <w:numPr>
          <w:ilvl w:val="2"/>
          <w:numId w:val="14"/>
        </w:numPr>
        <w:ind w:left="1418" w:hanging="709"/>
        <w:rPr>
          <w:rFonts w:eastAsia="Arial" w:cs="Arial"/>
          <w:color w:val="000000" w:themeColor="text1"/>
        </w:rPr>
      </w:pPr>
      <w:hyperlink r:id="rId24">
        <w:r w:rsidR="5063B398" w:rsidRPr="004234F7">
          <w:rPr>
            <w:rStyle w:val="Hyperlink"/>
            <w:rFonts w:eastAsia="Arial" w:cs="Arial"/>
          </w:rPr>
          <w:t>60 per cent reduction in GP contact times</w:t>
        </w:r>
      </w:hyperlink>
      <w:r w:rsidR="5063B398" w:rsidRPr="004234F7">
        <w:rPr>
          <w:rFonts w:eastAsia="Arial" w:cs="Arial"/>
          <w:color w:val="000000" w:themeColor="text1"/>
        </w:rPr>
        <w:t xml:space="preserve"> in the 12 months following intervention compared to the previous 12 months</w:t>
      </w:r>
    </w:p>
    <w:p w14:paraId="32F92448" w14:textId="77777777" w:rsidR="004234F7" w:rsidRPr="004234F7" w:rsidRDefault="5063B398" w:rsidP="004234F7">
      <w:pPr>
        <w:pStyle w:val="ListParagraph"/>
        <w:numPr>
          <w:ilvl w:val="2"/>
          <w:numId w:val="14"/>
        </w:numPr>
        <w:ind w:left="1418" w:hanging="709"/>
        <w:rPr>
          <w:rFonts w:eastAsia="Arial" w:cs="Arial"/>
          <w:color w:val="000000" w:themeColor="text1"/>
        </w:rPr>
      </w:pPr>
      <w:r w:rsidRPr="004234F7">
        <w:rPr>
          <w:rFonts w:eastAsia="Arial" w:cs="Arial"/>
          <w:color w:val="000000" w:themeColor="text1"/>
        </w:rPr>
        <w:t>25 per cent reduction in A&amp;E attendance in the social prescribing group, with a 66 per cent increase in A&amp;E attendance by the control group (</w:t>
      </w:r>
      <w:r w:rsidRPr="004234F7">
        <w:rPr>
          <w:rFonts w:eastAsia="Arial" w:cs="Arial"/>
        </w:rPr>
        <w:t>Health Foundation; City and Hackney Clinical Commissioning Group &amp; University of East London (2014). Social Prescribing: integrating GP and Community Assets for Health</w:t>
      </w:r>
      <w:r w:rsidR="004234F7" w:rsidRPr="004234F7">
        <w:rPr>
          <w:rFonts w:eastAsia="Arial" w:cs="Arial"/>
        </w:rPr>
        <w:t>.</w:t>
      </w:r>
    </w:p>
    <w:p w14:paraId="086C1D80" w14:textId="7A4E900C" w:rsidR="5063B398" w:rsidRPr="004234F7" w:rsidRDefault="5063B398" w:rsidP="004234F7">
      <w:pPr>
        <w:pStyle w:val="ListParagraph"/>
        <w:numPr>
          <w:ilvl w:val="2"/>
          <w:numId w:val="14"/>
        </w:numPr>
        <w:ind w:left="1418" w:hanging="709"/>
        <w:rPr>
          <w:rStyle w:val="Hyperlink"/>
          <w:rFonts w:eastAsia="Arial" w:cs="Arial"/>
          <w:color w:val="000000" w:themeColor="text1"/>
          <w:u w:val="none"/>
        </w:rPr>
      </w:pPr>
      <w:r w:rsidRPr="004234F7">
        <w:rPr>
          <w:rFonts w:eastAsia="Arial" w:cs="Arial"/>
          <w:color w:val="000000" w:themeColor="text1"/>
        </w:rPr>
        <w:t>17 per cent reduction in A&amp;E attendance and 7 per cent reduction in non-elective in patient stays were reported in the 12 months post intervention compared to the 12 months before it in an</w:t>
      </w:r>
      <w:hyperlink r:id="rId25">
        <w:r w:rsidRPr="004234F7">
          <w:rPr>
            <w:rStyle w:val="Hyperlink"/>
            <w:rFonts w:eastAsia="Arial" w:cs="Arial"/>
          </w:rPr>
          <w:t xml:space="preserve"> evaluation report from the Rotherham Social Prescribing Service.</w:t>
        </w:r>
      </w:hyperlink>
    </w:p>
    <w:p w14:paraId="4E9CFEE8" w14:textId="77777777" w:rsidR="007F220B" w:rsidRDefault="007F220B" w:rsidP="007F220B">
      <w:pPr>
        <w:pStyle w:val="ListParagraph"/>
        <w:numPr>
          <w:ilvl w:val="0"/>
          <w:numId w:val="0"/>
        </w:numPr>
        <w:ind w:left="720"/>
        <w:rPr>
          <w:rFonts w:asciiTheme="minorHAnsi" w:eastAsiaTheme="minorEastAsia" w:hAnsiTheme="minorHAnsi"/>
          <w:color w:val="000000" w:themeColor="text1"/>
        </w:rPr>
      </w:pPr>
    </w:p>
    <w:p w14:paraId="32E3C2FE" w14:textId="7D0E59D6" w:rsidR="20F15064" w:rsidRDefault="00BE01D3" w:rsidP="007F220B">
      <w:pPr>
        <w:pStyle w:val="ListParagraph"/>
      </w:pPr>
      <w:r>
        <w:t>Regular physical activity reduces the risk of serious illness and disease by up to:</w:t>
      </w:r>
    </w:p>
    <w:p w14:paraId="2A99746F" w14:textId="77777777" w:rsidR="004234F7" w:rsidRDefault="004234F7" w:rsidP="004234F7">
      <w:pPr>
        <w:pStyle w:val="ListParagraph"/>
        <w:numPr>
          <w:ilvl w:val="0"/>
          <w:numId w:val="0"/>
        </w:numPr>
        <w:ind w:left="360"/>
      </w:pPr>
    </w:p>
    <w:p w14:paraId="3FD1EFDF" w14:textId="77777777" w:rsidR="004234F7" w:rsidRDefault="00C45691" w:rsidP="004234F7">
      <w:pPr>
        <w:pStyle w:val="ListParagraph"/>
        <w:numPr>
          <w:ilvl w:val="1"/>
          <w:numId w:val="15"/>
        </w:numPr>
        <w:ind w:left="1134" w:hanging="566"/>
        <w:rPr>
          <w:rFonts w:eastAsia="Calibri" w:cs="Arial"/>
        </w:rPr>
      </w:pPr>
      <w:r w:rsidRPr="004234F7">
        <w:rPr>
          <w:rFonts w:eastAsia="Calibri" w:cs="Arial"/>
        </w:rPr>
        <w:t>30 per cent – dementia</w:t>
      </w:r>
    </w:p>
    <w:p w14:paraId="3C454179" w14:textId="77777777" w:rsidR="004234F7" w:rsidRDefault="00C45691" w:rsidP="004234F7">
      <w:pPr>
        <w:pStyle w:val="ListParagraph"/>
        <w:numPr>
          <w:ilvl w:val="1"/>
          <w:numId w:val="15"/>
        </w:numPr>
        <w:ind w:left="1134" w:hanging="566"/>
        <w:rPr>
          <w:rFonts w:eastAsia="Calibri" w:cs="Arial"/>
        </w:rPr>
      </w:pPr>
      <w:r w:rsidRPr="004234F7">
        <w:rPr>
          <w:rFonts w:eastAsia="Calibri" w:cs="Arial"/>
        </w:rPr>
        <w:t>35 per cent cardiovascular disease</w:t>
      </w:r>
    </w:p>
    <w:p w14:paraId="2401ED83" w14:textId="77777777" w:rsidR="004234F7" w:rsidRDefault="00C45691" w:rsidP="004234F7">
      <w:pPr>
        <w:pStyle w:val="ListParagraph"/>
        <w:numPr>
          <w:ilvl w:val="1"/>
          <w:numId w:val="15"/>
        </w:numPr>
        <w:ind w:left="1134" w:hanging="566"/>
        <w:rPr>
          <w:rFonts w:eastAsia="Calibri" w:cs="Arial"/>
        </w:rPr>
      </w:pPr>
      <w:r w:rsidRPr="004234F7">
        <w:rPr>
          <w:rFonts w:eastAsia="Calibri" w:cs="Arial"/>
        </w:rPr>
        <w:t>40 per cent – type two diabetes</w:t>
      </w:r>
    </w:p>
    <w:p w14:paraId="17F12853" w14:textId="77777777" w:rsidR="004234F7" w:rsidRDefault="00C45691" w:rsidP="004234F7">
      <w:pPr>
        <w:pStyle w:val="ListParagraph"/>
        <w:numPr>
          <w:ilvl w:val="1"/>
          <w:numId w:val="15"/>
        </w:numPr>
        <w:ind w:left="1134" w:hanging="566"/>
        <w:rPr>
          <w:rFonts w:eastAsia="Calibri" w:cs="Arial"/>
        </w:rPr>
      </w:pPr>
      <w:r w:rsidRPr="004234F7">
        <w:rPr>
          <w:rFonts w:eastAsia="Calibri" w:cs="Arial"/>
        </w:rPr>
        <w:t>30 per cent colon cancer</w:t>
      </w:r>
    </w:p>
    <w:p w14:paraId="50972669" w14:textId="77777777" w:rsidR="004234F7" w:rsidRDefault="0037029A" w:rsidP="004234F7">
      <w:pPr>
        <w:pStyle w:val="ListParagraph"/>
        <w:numPr>
          <w:ilvl w:val="1"/>
          <w:numId w:val="15"/>
        </w:numPr>
        <w:ind w:left="1134" w:hanging="566"/>
        <w:rPr>
          <w:rFonts w:eastAsia="Calibri" w:cs="Arial"/>
        </w:rPr>
      </w:pPr>
      <w:r w:rsidRPr="004234F7">
        <w:rPr>
          <w:rFonts w:eastAsia="Calibri" w:cs="Arial"/>
        </w:rPr>
        <w:t>20 per cent – breast cancer</w:t>
      </w:r>
    </w:p>
    <w:p w14:paraId="49487DC9" w14:textId="77777777" w:rsidR="004234F7" w:rsidRDefault="0037029A" w:rsidP="004234F7">
      <w:pPr>
        <w:pStyle w:val="ListParagraph"/>
        <w:numPr>
          <w:ilvl w:val="1"/>
          <w:numId w:val="15"/>
        </w:numPr>
        <w:ind w:left="1134" w:hanging="566"/>
        <w:rPr>
          <w:rFonts w:eastAsia="Calibri" w:cs="Arial"/>
        </w:rPr>
      </w:pPr>
      <w:r w:rsidRPr="004234F7">
        <w:rPr>
          <w:rFonts w:eastAsia="Calibri" w:cs="Arial"/>
        </w:rPr>
        <w:t>20 per cent – depression</w:t>
      </w:r>
    </w:p>
    <w:p w14:paraId="33BA00DE" w14:textId="0FA1B279" w:rsidR="0037029A" w:rsidRPr="004234F7" w:rsidRDefault="0037029A" w:rsidP="004234F7">
      <w:pPr>
        <w:pStyle w:val="ListParagraph"/>
        <w:numPr>
          <w:ilvl w:val="1"/>
          <w:numId w:val="15"/>
        </w:numPr>
        <w:ind w:left="1134" w:hanging="566"/>
        <w:rPr>
          <w:rFonts w:eastAsia="Calibri" w:cs="Arial"/>
        </w:rPr>
      </w:pPr>
      <w:r w:rsidRPr="004234F7">
        <w:rPr>
          <w:rFonts w:eastAsia="Calibri" w:cs="Arial"/>
        </w:rPr>
        <w:t>68 per cent – hip fractures</w:t>
      </w:r>
    </w:p>
    <w:p w14:paraId="12116024" w14:textId="77777777" w:rsidR="00086696" w:rsidRDefault="00086696" w:rsidP="00086696">
      <w:pPr>
        <w:pStyle w:val="ListParagraph"/>
        <w:numPr>
          <w:ilvl w:val="0"/>
          <w:numId w:val="0"/>
        </w:numPr>
        <w:ind w:left="720"/>
        <w:rPr>
          <w:rFonts w:eastAsia="Calibri" w:cs="Arial"/>
        </w:rPr>
      </w:pPr>
    </w:p>
    <w:p w14:paraId="7ACA6CA8" w14:textId="42B764AA" w:rsidR="00086696" w:rsidRDefault="000A3DF1" w:rsidP="00086696">
      <w:pPr>
        <w:pStyle w:val="ListParagraph"/>
      </w:pPr>
      <w:r>
        <w:t xml:space="preserve">Being physically active plays a significant part in helping to address obesity levels alongside a balanced diet. Councils are crucial partners in responding to the obesity crisis and delivering the Government’s obesity strategy. Public sport and leisure services can directly support the NHS “Better Weight” campaign in an effort to encourage more people to lose weight. Many councils already have exercise referral programmes in place but </w:t>
      </w:r>
      <w:r w:rsidR="008A69FD">
        <w:t xml:space="preserve">currently </w:t>
      </w:r>
      <w:r>
        <w:t xml:space="preserve">this is not a consistent picture across the country. </w:t>
      </w:r>
      <w:r w:rsidR="006E32DD">
        <w:t>For</w:t>
      </w:r>
      <w:r w:rsidR="00AA13F2">
        <w:t xml:space="preserve"> example, Half of people completing East Riding of Yorkshire Council’s Live Well programme have achieved at least a 5 per cent weight loss. This has drastically reduced the number of </w:t>
      </w:r>
      <w:r w:rsidR="00AA13F2">
        <w:lastRenderedPageBreak/>
        <w:t>bariatric surgery operations from 100 to 20 pa in the area in 8 years (the most expensive type of operation for the NHS), this has saved the NHS £2.5m in the process.</w:t>
      </w:r>
    </w:p>
    <w:p w14:paraId="109DA7E6" w14:textId="77777777" w:rsidR="00086696" w:rsidRDefault="00086696" w:rsidP="00086696">
      <w:pPr>
        <w:pStyle w:val="ListParagraph"/>
        <w:numPr>
          <w:ilvl w:val="0"/>
          <w:numId w:val="0"/>
        </w:numPr>
        <w:ind w:left="360"/>
      </w:pPr>
    </w:p>
    <w:p w14:paraId="74FE1CB6" w14:textId="1B04C593" w:rsidR="004234F7" w:rsidRDefault="00054297" w:rsidP="004234F7">
      <w:pPr>
        <w:pStyle w:val="ListParagraph"/>
      </w:pPr>
      <w:r>
        <w:t xml:space="preserve"> </w:t>
      </w:r>
      <w:hyperlink r:id="rId26" w:history="1">
        <w:r w:rsidRPr="00A1250A">
          <w:rPr>
            <w:rStyle w:val="Hyperlink"/>
          </w:rPr>
          <w:t>Those living in the poorest areas of England die on average 7 years earlier than those who live in the richest areas</w:t>
        </w:r>
      </w:hyperlink>
      <w:r>
        <w:t>. Regular participation in sport and recreation can help to increase life expectancy</w:t>
      </w:r>
      <w:r w:rsidR="00F94AF6">
        <w:t>.</w:t>
      </w:r>
    </w:p>
    <w:p w14:paraId="1B5A5F13" w14:textId="77777777" w:rsidR="004234F7" w:rsidRDefault="004234F7" w:rsidP="004234F7">
      <w:pPr>
        <w:pStyle w:val="ListParagraph"/>
        <w:numPr>
          <w:ilvl w:val="0"/>
          <w:numId w:val="0"/>
        </w:numPr>
        <w:ind w:left="360"/>
      </w:pPr>
    </w:p>
    <w:p w14:paraId="159EB92A" w14:textId="45DCC1FF" w:rsidR="00695A86" w:rsidRDefault="098C3114" w:rsidP="005978A2">
      <w:pPr>
        <w:pStyle w:val="ListParagraph"/>
        <w:rPr>
          <w:b/>
          <w:bCs/>
        </w:rPr>
      </w:pPr>
      <w:r w:rsidRPr="005978A2">
        <w:rPr>
          <w:b/>
          <w:bCs/>
        </w:rPr>
        <w:t>Mission 8: Improved wellbeing</w:t>
      </w:r>
    </w:p>
    <w:p w14:paraId="410B3378" w14:textId="77777777" w:rsidR="005978A2" w:rsidRPr="005978A2" w:rsidRDefault="005978A2" w:rsidP="005978A2">
      <w:pPr>
        <w:pStyle w:val="ListParagraph"/>
        <w:numPr>
          <w:ilvl w:val="0"/>
          <w:numId w:val="0"/>
        </w:numPr>
        <w:ind w:left="360"/>
        <w:rPr>
          <w:b/>
          <w:bCs/>
        </w:rPr>
      </w:pPr>
    </w:p>
    <w:p w14:paraId="3003AC6B" w14:textId="77777777" w:rsidR="004234F7" w:rsidRPr="004234F7" w:rsidRDefault="00695A86" w:rsidP="004234F7">
      <w:pPr>
        <w:pStyle w:val="ListParagraph"/>
        <w:numPr>
          <w:ilvl w:val="1"/>
          <w:numId w:val="1"/>
        </w:numPr>
        <w:ind w:left="993" w:hanging="633"/>
      </w:pPr>
      <w:r w:rsidRPr="00695A86">
        <w:rPr>
          <w:rFonts w:eastAsia="Arial" w:cs="Arial"/>
        </w:rPr>
        <w:t>Public leisure and activity achieves £42bn in improved mental wellbeing and productivity (Sport England)</w:t>
      </w:r>
    </w:p>
    <w:p w14:paraId="6F09DFF8" w14:textId="77777777" w:rsidR="004234F7" w:rsidRPr="004234F7" w:rsidRDefault="5063B398" w:rsidP="004234F7">
      <w:pPr>
        <w:pStyle w:val="ListParagraph"/>
        <w:numPr>
          <w:ilvl w:val="1"/>
          <w:numId w:val="1"/>
        </w:numPr>
        <w:ind w:left="993" w:hanging="633"/>
      </w:pPr>
      <w:r w:rsidRPr="004234F7">
        <w:rPr>
          <w:rFonts w:eastAsia="Arial" w:cs="Arial"/>
        </w:rPr>
        <w:t>Arts interventions have been shown to have a significant impact on mental wellbeing and are an accepted option in the medical management of wellbeing. A</w:t>
      </w:r>
      <w:hyperlink r:id="rId27">
        <w:r w:rsidRPr="004234F7">
          <w:rPr>
            <w:rStyle w:val="Hyperlink"/>
            <w:rFonts w:eastAsia="Arial" w:cs="Arial"/>
          </w:rPr>
          <w:t xml:space="preserve"> longitudinal study</w:t>
        </w:r>
      </w:hyperlink>
      <w:r w:rsidRPr="004234F7">
        <w:rPr>
          <w:rFonts w:eastAsia="Arial" w:cs="Arial"/>
        </w:rPr>
        <w:t xml:space="preserve"> of  1297 patients concluded that art interventions can be effective in the promotion of well-being for those that complete a course of arts engagement, with significant changes in wellbeing evident across the intervention periods.</w:t>
      </w:r>
    </w:p>
    <w:p w14:paraId="3BA627EE" w14:textId="38EB120B" w:rsidR="20F15064" w:rsidRPr="004234F7" w:rsidRDefault="20F15064" w:rsidP="004234F7">
      <w:pPr>
        <w:pStyle w:val="ListParagraph"/>
        <w:numPr>
          <w:ilvl w:val="1"/>
          <w:numId w:val="1"/>
        </w:numPr>
        <w:ind w:left="993" w:hanging="633"/>
      </w:pPr>
      <w:r w:rsidRPr="004234F7">
        <w:rPr>
          <w:rFonts w:eastAsia="Calibri" w:cs="Arial"/>
        </w:rPr>
        <w:t xml:space="preserve">Libraries are free, safe spaces in local communities which makes the public library network a valuable platform to address the challenge of loneliness and social isolation. </w:t>
      </w:r>
      <w:hyperlink r:id="rId28">
        <w:r w:rsidRPr="004234F7">
          <w:rPr>
            <w:rStyle w:val="Hyperlink"/>
            <w:rFonts w:eastAsia="Calibri" w:cs="Arial"/>
          </w:rPr>
          <w:t>A Reading Agency survey</w:t>
        </w:r>
      </w:hyperlink>
      <w:r w:rsidRPr="004234F7">
        <w:rPr>
          <w:rFonts w:eastAsia="Calibri" w:cs="Arial"/>
        </w:rPr>
        <w:t xml:space="preserve"> in 2020 of over 1,000 reading group members found that:</w:t>
      </w:r>
    </w:p>
    <w:p w14:paraId="6326B9EB" w14:textId="77777777" w:rsidR="004234F7" w:rsidRPr="004234F7" w:rsidRDefault="004234F7" w:rsidP="004234F7">
      <w:pPr>
        <w:pStyle w:val="ListParagraph"/>
        <w:numPr>
          <w:ilvl w:val="0"/>
          <w:numId w:val="0"/>
        </w:numPr>
        <w:ind w:left="993"/>
      </w:pPr>
    </w:p>
    <w:p w14:paraId="7807B5FE" w14:textId="77777777" w:rsidR="004234F7" w:rsidRPr="004234F7" w:rsidRDefault="20F15064" w:rsidP="004234F7">
      <w:pPr>
        <w:pStyle w:val="ListParagraph"/>
        <w:numPr>
          <w:ilvl w:val="2"/>
          <w:numId w:val="16"/>
        </w:numPr>
        <w:rPr>
          <w:rFonts w:asciiTheme="minorHAnsi" w:eastAsiaTheme="minorEastAsia" w:hAnsiTheme="minorHAnsi"/>
        </w:rPr>
      </w:pPr>
      <w:r>
        <w:t>84% feel more connected to other people because of being part of a reading group</w:t>
      </w:r>
    </w:p>
    <w:p w14:paraId="0E2E3304" w14:textId="15C16FCF" w:rsidR="004234F7" w:rsidRPr="00F25D20" w:rsidRDefault="20F15064" w:rsidP="00F25D20">
      <w:pPr>
        <w:pStyle w:val="ListParagraph"/>
        <w:numPr>
          <w:ilvl w:val="2"/>
          <w:numId w:val="16"/>
        </w:numPr>
        <w:rPr>
          <w:rFonts w:asciiTheme="minorHAnsi" w:eastAsiaTheme="minorEastAsia" w:hAnsiTheme="minorHAnsi"/>
        </w:rPr>
      </w:pPr>
      <w:r>
        <w:t>71% said their mental wellbeing improved because of being part of a reading group.</w:t>
      </w:r>
      <w:r w:rsidR="00F25D20">
        <w:br/>
      </w:r>
    </w:p>
    <w:p w14:paraId="7BCECFB8" w14:textId="602FD2C4" w:rsidR="20F15064" w:rsidRPr="004234F7" w:rsidRDefault="20F15064" w:rsidP="004234F7">
      <w:pPr>
        <w:pStyle w:val="ListParagraph"/>
        <w:numPr>
          <w:ilvl w:val="1"/>
          <w:numId w:val="16"/>
        </w:numPr>
        <w:rPr>
          <w:rFonts w:asciiTheme="minorHAnsi" w:eastAsiaTheme="minorEastAsia" w:hAnsiTheme="minorHAnsi"/>
        </w:rPr>
      </w:pPr>
      <w:r>
        <w:t>Of those users of the Reading Well for young people scheme who replied, the emerging findings also indicate a positive impact:</w:t>
      </w:r>
    </w:p>
    <w:p w14:paraId="25B59B78" w14:textId="77777777" w:rsidR="004234F7" w:rsidRPr="004234F7" w:rsidRDefault="004234F7" w:rsidP="004234F7">
      <w:pPr>
        <w:pStyle w:val="ListParagraph"/>
        <w:numPr>
          <w:ilvl w:val="0"/>
          <w:numId w:val="0"/>
        </w:numPr>
        <w:ind w:left="884"/>
        <w:rPr>
          <w:rFonts w:asciiTheme="minorHAnsi" w:eastAsiaTheme="minorEastAsia" w:hAnsiTheme="minorHAnsi"/>
        </w:rPr>
      </w:pPr>
    </w:p>
    <w:p w14:paraId="3BF41091" w14:textId="77777777" w:rsidR="004234F7" w:rsidRPr="004234F7" w:rsidRDefault="20F15064" w:rsidP="004234F7">
      <w:pPr>
        <w:pStyle w:val="ListParagraph"/>
        <w:numPr>
          <w:ilvl w:val="2"/>
          <w:numId w:val="16"/>
        </w:numPr>
        <w:rPr>
          <w:rFonts w:asciiTheme="minorHAnsi" w:eastAsiaTheme="minorEastAsia" w:hAnsiTheme="minorHAnsi"/>
        </w:rPr>
      </w:pPr>
      <w:r>
        <w:t>96% agreed it offered support in dealing with difficult feelings and experiences</w:t>
      </w:r>
    </w:p>
    <w:p w14:paraId="063FCE57" w14:textId="1D2C57C8" w:rsidR="20F15064" w:rsidRPr="004234F7" w:rsidRDefault="20F15064" w:rsidP="004234F7">
      <w:pPr>
        <w:pStyle w:val="ListParagraph"/>
        <w:numPr>
          <w:ilvl w:val="2"/>
          <w:numId w:val="16"/>
        </w:numPr>
        <w:rPr>
          <w:rFonts w:asciiTheme="minorHAnsi" w:eastAsiaTheme="minorEastAsia" w:hAnsiTheme="minorHAnsi"/>
        </w:rPr>
      </w:pPr>
      <w:r>
        <w:t>87% agreed that the books had offered advice for coping with pressures that could affect mental health and wellbeing.</w:t>
      </w:r>
    </w:p>
    <w:p w14:paraId="4930439C" w14:textId="77777777" w:rsidR="004234F7" w:rsidRPr="004234F7" w:rsidRDefault="004234F7" w:rsidP="004234F7">
      <w:pPr>
        <w:pStyle w:val="ListParagraph"/>
        <w:numPr>
          <w:ilvl w:val="0"/>
          <w:numId w:val="0"/>
        </w:numPr>
        <w:ind w:left="1572"/>
        <w:rPr>
          <w:rFonts w:asciiTheme="minorHAnsi" w:eastAsiaTheme="minorEastAsia" w:hAnsiTheme="minorHAnsi"/>
        </w:rPr>
      </w:pPr>
    </w:p>
    <w:p w14:paraId="6EB10FB5" w14:textId="16E35501" w:rsidR="004234F7" w:rsidRPr="004234F7" w:rsidRDefault="20F15064" w:rsidP="004234F7">
      <w:pPr>
        <w:pStyle w:val="ListParagraph"/>
        <w:numPr>
          <w:ilvl w:val="1"/>
          <w:numId w:val="16"/>
        </w:numPr>
        <w:rPr>
          <w:rFonts w:asciiTheme="minorHAnsi" w:eastAsiaTheme="minorEastAsia" w:hAnsiTheme="minorHAnsi"/>
        </w:rPr>
      </w:pPr>
      <w:r w:rsidRPr="20F15064">
        <w:rPr>
          <w:rFonts w:eastAsia="Calibri" w:cs="Arial"/>
        </w:rPr>
        <w:t>More than 5 million adults in the UK have either never used the internet or not used it in the past three months, with a significant potential impact on their ability to engage in an increasingly digital world. Libraries have an important role to play in addressing the digital divide through their provision of free internet access and support.</w:t>
      </w:r>
    </w:p>
    <w:p w14:paraId="2A40D691" w14:textId="77777777" w:rsidR="004234F7" w:rsidRPr="004234F7" w:rsidRDefault="004234F7" w:rsidP="004234F7">
      <w:pPr>
        <w:pStyle w:val="ListParagraph"/>
        <w:numPr>
          <w:ilvl w:val="0"/>
          <w:numId w:val="0"/>
        </w:numPr>
        <w:ind w:left="884"/>
        <w:rPr>
          <w:rFonts w:asciiTheme="minorHAnsi" w:eastAsiaTheme="minorEastAsia" w:hAnsiTheme="minorHAnsi"/>
        </w:rPr>
      </w:pPr>
    </w:p>
    <w:p w14:paraId="335D432A" w14:textId="77777777" w:rsidR="004234F7" w:rsidRPr="004234F7" w:rsidRDefault="009D2BB0" w:rsidP="004234F7">
      <w:pPr>
        <w:pStyle w:val="ListParagraph"/>
        <w:numPr>
          <w:ilvl w:val="1"/>
          <w:numId w:val="16"/>
        </w:numPr>
        <w:rPr>
          <w:rFonts w:asciiTheme="minorHAnsi" w:eastAsiaTheme="minorEastAsia" w:hAnsiTheme="minorHAnsi"/>
        </w:rPr>
      </w:pPr>
      <w:hyperlink r:id="rId29">
        <w:r w:rsidR="20F15064" w:rsidRPr="20F15064">
          <w:rPr>
            <w:rStyle w:val="Hyperlink"/>
            <w:rFonts w:eastAsia="Calibri" w:cs="Arial"/>
          </w:rPr>
          <w:t>A 2019 scoping review</w:t>
        </w:r>
      </w:hyperlink>
      <w:r w:rsidR="20F15064" w:rsidRPr="20F15064">
        <w:rPr>
          <w:rFonts w:eastAsia="Calibri" w:cs="Arial"/>
        </w:rPr>
        <w:t xml:space="preserve"> of the impact of historic places or objects on individual and community wellbeing concluded that historic buildings and places, and associated </w:t>
      </w:r>
      <w:r w:rsidR="20F15064" w:rsidRPr="20F15064">
        <w:rPr>
          <w:rFonts w:eastAsia="Calibri" w:cs="Arial"/>
        </w:rPr>
        <w:lastRenderedPageBreak/>
        <w:t>activities and interventions, can have a wide range of beneficial impacts on the physical, mental and social wellbeing of individuals and communities. Evidence shows impacts on individual wellbeing, including outcomes such as increased confidence, social connectivity and life satisfaction.</w:t>
      </w:r>
    </w:p>
    <w:p w14:paraId="1BE6750E" w14:textId="77777777" w:rsidR="004234F7" w:rsidRPr="004234F7" w:rsidRDefault="004234F7" w:rsidP="004234F7">
      <w:pPr>
        <w:pStyle w:val="ListParagraph"/>
        <w:numPr>
          <w:ilvl w:val="0"/>
          <w:numId w:val="0"/>
        </w:numPr>
        <w:ind w:left="360"/>
        <w:rPr>
          <w:rFonts w:eastAsia="Calibri" w:cs="Arial"/>
        </w:rPr>
      </w:pPr>
    </w:p>
    <w:p w14:paraId="668EA7A5" w14:textId="77777777" w:rsidR="004234F7" w:rsidRPr="004234F7" w:rsidRDefault="6D3670A1" w:rsidP="004234F7">
      <w:pPr>
        <w:pStyle w:val="ListParagraph"/>
        <w:numPr>
          <w:ilvl w:val="1"/>
          <w:numId w:val="16"/>
        </w:numPr>
        <w:rPr>
          <w:rFonts w:asciiTheme="minorHAnsi" w:eastAsiaTheme="minorEastAsia" w:hAnsiTheme="minorHAnsi"/>
        </w:rPr>
      </w:pPr>
      <w:r w:rsidRPr="004234F7">
        <w:rPr>
          <w:rFonts w:eastAsia="Calibri" w:cs="Arial"/>
        </w:rPr>
        <w:t>A 2020 rapid evidence review on parks and open spaces made similar findings, highlighting benefits to physical health, mental wellbeing, life satisfaction, social integration, community engagement and economic growth</w:t>
      </w:r>
      <w:r w:rsidR="004234F7">
        <w:rPr>
          <w:rFonts w:eastAsia="Calibri" w:cs="Arial"/>
        </w:rPr>
        <w:t>.</w:t>
      </w:r>
    </w:p>
    <w:p w14:paraId="09C25171" w14:textId="77777777" w:rsidR="004234F7" w:rsidRDefault="004234F7" w:rsidP="004234F7">
      <w:pPr>
        <w:pStyle w:val="ListParagraph"/>
        <w:numPr>
          <w:ilvl w:val="0"/>
          <w:numId w:val="0"/>
        </w:numPr>
        <w:ind w:left="360"/>
      </w:pPr>
    </w:p>
    <w:p w14:paraId="7A06859D" w14:textId="2A99BA59" w:rsidR="00A9127E" w:rsidRPr="004234F7" w:rsidRDefault="00A9127E" w:rsidP="004234F7">
      <w:pPr>
        <w:pStyle w:val="ListParagraph"/>
        <w:numPr>
          <w:ilvl w:val="1"/>
          <w:numId w:val="16"/>
        </w:numPr>
        <w:rPr>
          <w:rStyle w:val="Hyperlink"/>
          <w:rFonts w:asciiTheme="minorHAnsi" w:eastAsiaTheme="minorEastAsia" w:hAnsiTheme="minorHAnsi"/>
          <w:color w:val="auto"/>
          <w:u w:val="none"/>
        </w:rPr>
      </w:pPr>
      <w:r>
        <w:t>Sport and leisure services provide an environment within which to learn a variety of different life skills</w:t>
      </w:r>
      <w:r w:rsidR="003F101C">
        <w:t xml:space="preserve"> at all stages of life</w:t>
      </w:r>
      <w:r>
        <w:t>. This can include provision of other activities such as adult education, road safety and cycle safety. For example, the C</w:t>
      </w:r>
      <w:r w:rsidRPr="00A84A2A">
        <w:t xml:space="preserve">ycle for Health </w:t>
      </w:r>
      <w:r>
        <w:t>project</w:t>
      </w:r>
      <w:r w:rsidRPr="00A84A2A">
        <w:t xml:space="preserve"> </w:t>
      </w:r>
      <w:r>
        <w:t xml:space="preserve">being delivered in </w:t>
      </w:r>
      <w:r w:rsidRPr="00A84A2A">
        <w:t xml:space="preserve">the West Yorkshire Combined Authority </w:t>
      </w:r>
      <w:r>
        <w:t xml:space="preserve">uses leisure facilities, parks and green spaces to deliver a twelve-week programme which aims to increase participants’ activity and wellbeing levels, change travel behaviour and offer cycling opportunities. </w:t>
      </w:r>
      <w:hyperlink r:id="rId30">
        <w:r w:rsidRPr="7094BA0E">
          <w:rPr>
            <w:rStyle w:val="Hyperlink"/>
          </w:rPr>
          <w:t>Cycle for Health | Cycling UK</w:t>
        </w:r>
      </w:hyperlink>
    </w:p>
    <w:p w14:paraId="0567AFCD" w14:textId="77777777" w:rsidR="00DB4DE4" w:rsidRPr="00DB4DE4" w:rsidRDefault="00DB4DE4" w:rsidP="00DB4DE4">
      <w:pPr>
        <w:pStyle w:val="ListParagraph"/>
        <w:numPr>
          <w:ilvl w:val="0"/>
          <w:numId w:val="0"/>
        </w:numPr>
        <w:ind w:left="792"/>
        <w:rPr>
          <w:rStyle w:val="Hyperlink"/>
          <w:b/>
          <w:color w:val="auto"/>
          <w:u w:val="none"/>
        </w:rPr>
      </w:pPr>
    </w:p>
    <w:p w14:paraId="58E3305C" w14:textId="12781654" w:rsidR="20F15064" w:rsidRDefault="00DB4DE4" w:rsidP="004234F7">
      <w:pPr>
        <w:pStyle w:val="ListParagraph"/>
        <w:numPr>
          <w:ilvl w:val="0"/>
          <w:numId w:val="16"/>
        </w:numPr>
      </w:pPr>
      <w:r>
        <w:t xml:space="preserve">The visitor economy contribution to improved wellbeing is tied up closely to the delivery of sport and cultural </w:t>
      </w:r>
      <w:r w:rsidR="00A97182">
        <w:t xml:space="preserve">opportunities in an area. However, the importance of regular breaks is recognised </w:t>
      </w:r>
      <w:r w:rsidR="002022B0">
        <w:t xml:space="preserve">in programmes supporting carers to have regular breaks, such as through the </w:t>
      </w:r>
      <w:r w:rsidR="00943992">
        <w:t xml:space="preserve">recent </w:t>
      </w:r>
      <w:hyperlink r:id="rId31" w:history="1">
        <w:r w:rsidR="00943992" w:rsidRPr="00943992">
          <w:rPr>
            <w:rStyle w:val="Hyperlink"/>
          </w:rPr>
          <w:t>England for Everyone Fund</w:t>
        </w:r>
      </w:hyperlink>
      <w:r w:rsidR="00943992">
        <w:t xml:space="preserve">. The business case for introducing this fund could be expanded to better articulate and quantify the benefits of </w:t>
      </w:r>
      <w:r w:rsidR="00AF45CD">
        <w:t>vacations to wellbeing.</w:t>
      </w:r>
    </w:p>
    <w:p w14:paraId="23FD5063" w14:textId="77777777" w:rsidR="004234F7" w:rsidRPr="004234F7" w:rsidRDefault="004234F7" w:rsidP="004234F7">
      <w:pPr>
        <w:pStyle w:val="ListParagraph"/>
        <w:numPr>
          <w:ilvl w:val="0"/>
          <w:numId w:val="0"/>
        </w:numPr>
        <w:ind w:left="600"/>
      </w:pPr>
    </w:p>
    <w:p w14:paraId="78355A55" w14:textId="69C7A193" w:rsidR="002C63CE" w:rsidRDefault="00695A86" w:rsidP="004234F7">
      <w:pPr>
        <w:pStyle w:val="ListParagraph"/>
        <w:numPr>
          <w:ilvl w:val="0"/>
          <w:numId w:val="16"/>
        </w:numPr>
        <w:rPr>
          <w:rFonts w:eastAsia="Arial" w:cs="Arial"/>
        </w:rPr>
      </w:pPr>
      <w:r w:rsidRPr="00695A86">
        <w:rPr>
          <w:rFonts w:eastAsia="Arial" w:cs="Arial"/>
          <w:b/>
          <w:bCs/>
        </w:rPr>
        <w:t>Mission 9 Pride in place</w:t>
      </w:r>
      <w:r w:rsidRPr="00695A86">
        <w:rPr>
          <w:rFonts w:eastAsia="Arial" w:cs="Arial"/>
        </w:rPr>
        <w:t>:</w:t>
      </w:r>
      <w:r w:rsidRPr="004234F7">
        <w:rPr>
          <w:rFonts w:eastAsia="Arial" w:cs="Arial"/>
        </w:rPr>
        <w:t xml:space="preserve"> </w:t>
      </w:r>
    </w:p>
    <w:p w14:paraId="2A8E6C7B" w14:textId="77777777" w:rsidR="005978A2" w:rsidRPr="005978A2" w:rsidRDefault="005978A2" w:rsidP="005978A2">
      <w:pPr>
        <w:pStyle w:val="ListParagraph"/>
        <w:numPr>
          <w:ilvl w:val="0"/>
          <w:numId w:val="0"/>
        </w:numPr>
        <w:ind w:left="360"/>
        <w:rPr>
          <w:rFonts w:eastAsia="Arial" w:cs="Arial"/>
        </w:rPr>
      </w:pPr>
    </w:p>
    <w:p w14:paraId="3C0F1EF0" w14:textId="77777777" w:rsidR="004234F7" w:rsidRDefault="00695A86" w:rsidP="004234F7">
      <w:pPr>
        <w:pStyle w:val="ListParagraph"/>
        <w:numPr>
          <w:ilvl w:val="1"/>
          <w:numId w:val="17"/>
        </w:numPr>
        <w:ind w:left="1134" w:hanging="567"/>
        <w:rPr>
          <w:rFonts w:eastAsia="Arial" w:cs="Arial"/>
        </w:rPr>
      </w:pPr>
      <w:r w:rsidRPr="004234F7">
        <w:rPr>
          <w:rFonts w:eastAsia="Arial" w:cs="Arial"/>
        </w:rPr>
        <w:t>LGA public opinion polling on levelling up shows improved community assets like leisure centres and parks are people’s top priority for improvements in their local area (42%).</w:t>
      </w:r>
    </w:p>
    <w:p w14:paraId="2821D20D" w14:textId="77777777" w:rsidR="004234F7" w:rsidRDefault="009D2BB0" w:rsidP="004234F7">
      <w:pPr>
        <w:pStyle w:val="ListParagraph"/>
        <w:numPr>
          <w:ilvl w:val="1"/>
          <w:numId w:val="17"/>
        </w:numPr>
        <w:ind w:left="1134" w:hanging="567"/>
        <w:rPr>
          <w:rFonts w:eastAsia="Arial" w:cs="Arial"/>
        </w:rPr>
      </w:pPr>
      <w:hyperlink r:id="rId32">
        <w:r w:rsidR="20F15064" w:rsidRPr="004234F7">
          <w:rPr>
            <w:rStyle w:val="Hyperlink"/>
            <w:rFonts w:eastAsia="Arial" w:cs="Arial"/>
          </w:rPr>
          <w:t>Research from the Bennett Institute for Public Policy</w:t>
        </w:r>
      </w:hyperlink>
      <w:r w:rsidR="20F15064" w:rsidRPr="004234F7">
        <w:rPr>
          <w:rFonts w:eastAsia="Arial" w:cs="Arial"/>
        </w:rPr>
        <w:t xml:space="preserve"> has concluded that social infrastructure – the physical spaces and community facilities which bring people together to build meaningful relationships - have significant economic, social and civic value. It argues that rather than seeing investment in social infrastructure as a rival to investing in large-scale infrastructure projects, policy-makers should be more focused upon strategic planning that brings together and better aligns these different kinds of infrastructure.</w:t>
      </w:r>
    </w:p>
    <w:p w14:paraId="6D1A7B24" w14:textId="628CDC8C" w:rsidR="007541C4" w:rsidRPr="004234F7" w:rsidRDefault="007541C4" w:rsidP="004234F7">
      <w:pPr>
        <w:pStyle w:val="ListParagraph"/>
        <w:numPr>
          <w:ilvl w:val="1"/>
          <w:numId w:val="17"/>
        </w:numPr>
        <w:ind w:left="1134" w:hanging="567"/>
        <w:rPr>
          <w:rFonts w:eastAsia="Arial" w:cs="Arial"/>
        </w:rPr>
      </w:pPr>
      <w:r>
        <w:t>Public sport and leisure services (in terms of leisure centres specifically) are essential community hubs and a huge source of civic pride. They are often at the centre of their communities and are an integral part of local community life. There are now many examples of how these community hubs are integrated with other services and are often at the leading edge of driving this change. Integrated services include for example, community contact centres, libraries, adult social care day care, and NHS GP surgeries</w:t>
      </w:r>
      <w:r w:rsidR="002B7ACC">
        <w:t>.</w:t>
      </w:r>
      <w:r w:rsidR="00D20BDB">
        <w:t xml:space="preserve"> For example the </w:t>
      </w:r>
      <w:hyperlink r:id="rId33" w:history="1">
        <w:r w:rsidR="00D20BDB" w:rsidRPr="007E1642">
          <w:rPr>
            <w:rStyle w:val="Hyperlink"/>
          </w:rPr>
          <w:t xml:space="preserve">City of York </w:t>
        </w:r>
        <w:r w:rsidR="00D20BDB" w:rsidRPr="007E1642">
          <w:rPr>
            <w:rStyle w:val="Hyperlink"/>
          </w:rPr>
          <w:lastRenderedPageBreak/>
          <w:t xml:space="preserve">Partnership has </w:t>
        </w:r>
        <w:r w:rsidR="00C13AAC" w:rsidRPr="007E1642">
          <w:rPr>
            <w:rStyle w:val="Hyperlink"/>
          </w:rPr>
          <w:t xml:space="preserve">regenerated a deprived area of </w:t>
        </w:r>
        <w:proofErr w:type="spellStart"/>
        <w:r w:rsidR="00510A21" w:rsidRPr="007E1642">
          <w:rPr>
            <w:rStyle w:val="Hyperlink"/>
          </w:rPr>
          <w:t>Burnhol</w:t>
        </w:r>
        <w:r w:rsidR="003224AE" w:rsidRPr="007E1642">
          <w:rPr>
            <w:rStyle w:val="Hyperlink"/>
          </w:rPr>
          <w:t>me</w:t>
        </w:r>
        <w:proofErr w:type="spellEnd"/>
      </w:hyperlink>
      <w:r w:rsidR="003224AE">
        <w:t xml:space="preserve"> in York</w:t>
      </w:r>
      <w:r w:rsidR="00EA6FA7">
        <w:t xml:space="preserve"> through </w:t>
      </w:r>
      <w:r w:rsidR="00B538A8">
        <w:t>the d</w:t>
      </w:r>
      <w:r w:rsidR="00EA6FA7">
        <w:t>evelopment of a new health and community hub</w:t>
      </w:r>
      <w:r w:rsidR="002728AC">
        <w:t xml:space="preserve">. The hub includes </w:t>
      </w:r>
      <w:r w:rsidR="00030622">
        <w:t>refurb</w:t>
      </w:r>
      <w:r w:rsidR="00030622" w:rsidRPr="00030622">
        <w:t xml:space="preserve">ished and extended </w:t>
      </w:r>
      <w:r w:rsidR="00030622">
        <w:t>leisure facilities with</w:t>
      </w:r>
      <w:r w:rsidR="00030622" w:rsidRPr="00030622">
        <w:t xml:space="preserve"> an agreement </w:t>
      </w:r>
      <w:r w:rsidR="00030622">
        <w:t xml:space="preserve">with the leisure operator </w:t>
      </w:r>
      <w:r w:rsidR="00030622" w:rsidRPr="00030622">
        <w:t>to protect the rights for local schools to use the all-weather pitch, grass pitches and indoor spaces</w:t>
      </w:r>
      <w:r w:rsidR="0026443A">
        <w:t>. A care home</w:t>
      </w:r>
      <w:r w:rsidR="007E1642">
        <w:t xml:space="preserve"> with 25 beds available for council nomination</w:t>
      </w:r>
      <w:r w:rsidR="0026443A">
        <w:t>,</w:t>
      </w:r>
      <w:r w:rsidR="00E77F08">
        <w:t xml:space="preserve"> </w:t>
      </w:r>
      <w:r w:rsidR="005376DB">
        <w:t>library, community venue, café and GP surgery</w:t>
      </w:r>
      <w:r w:rsidR="00E77F08">
        <w:t xml:space="preserve"> and much more</w:t>
      </w:r>
      <w:r w:rsidR="00C65092">
        <w:t>.</w:t>
      </w:r>
      <w:r w:rsidR="00D20BDB">
        <w:t xml:space="preserve"> </w:t>
      </w:r>
    </w:p>
    <w:p w14:paraId="50F5D66D" w14:textId="77777777" w:rsidR="004234F7" w:rsidRPr="004234F7" w:rsidRDefault="004234F7" w:rsidP="004234F7">
      <w:pPr>
        <w:pStyle w:val="ListParagraph"/>
        <w:numPr>
          <w:ilvl w:val="0"/>
          <w:numId w:val="0"/>
        </w:numPr>
        <w:ind w:left="1134"/>
        <w:rPr>
          <w:rFonts w:eastAsia="Arial" w:cs="Arial"/>
        </w:rPr>
      </w:pPr>
    </w:p>
    <w:p w14:paraId="53F0FD9B" w14:textId="0F49890E" w:rsidR="00A82169" w:rsidRDefault="0061796E" w:rsidP="004234F7">
      <w:pPr>
        <w:pStyle w:val="ListParagraph"/>
        <w:numPr>
          <w:ilvl w:val="0"/>
          <w:numId w:val="17"/>
        </w:numPr>
      </w:pPr>
      <w:r>
        <w:t xml:space="preserve">Improvements that benefit residents tend to also support visitors, and vice versa, as seen by investments in Hull, Coventry, and Stoke. </w:t>
      </w:r>
      <w:r w:rsidR="00A82169">
        <w:t>This translates into a direct local economic boost:</w:t>
      </w:r>
    </w:p>
    <w:p w14:paraId="131B9E01" w14:textId="77777777" w:rsidR="004234F7" w:rsidRDefault="004234F7" w:rsidP="004234F7">
      <w:pPr>
        <w:pStyle w:val="ListParagraph"/>
        <w:numPr>
          <w:ilvl w:val="0"/>
          <w:numId w:val="0"/>
        </w:numPr>
        <w:ind w:left="420"/>
      </w:pPr>
    </w:p>
    <w:p w14:paraId="658AC557" w14:textId="77777777" w:rsidR="004234F7" w:rsidRDefault="00EB5A45" w:rsidP="004234F7">
      <w:pPr>
        <w:pStyle w:val="ListParagraph"/>
        <w:numPr>
          <w:ilvl w:val="1"/>
          <w:numId w:val="17"/>
        </w:numPr>
        <w:ind w:left="1134" w:hanging="708"/>
      </w:pPr>
      <w:r>
        <w:t>63% of international visitors dined in restaurants, spending £20.5bn</w:t>
      </w:r>
    </w:p>
    <w:p w14:paraId="160761C5" w14:textId="77777777" w:rsidR="004234F7" w:rsidRDefault="00EB5A45" w:rsidP="004234F7">
      <w:pPr>
        <w:pStyle w:val="ListParagraph"/>
        <w:numPr>
          <w:ilvl w:val="1"/>
          <w:numId w:val="17"/>
        </w:numPr>
        <w:ind w:left="1134" w:hanging="708"/>
      </w:pPr>
      <w:r>
        <w:t>29% of visitors went to museums and art galleries, spending £9.5b</w:t>
      </w:r>
      <w:r w:rsidR="004234F7">
        <w:t>n</w:t>
      </w:r>
    </w:p>
    <w:p w14:paraId="04056458" w14:textId="2A1EE1A2" w:rsidR="007E3A93" w:rsidRPr="005978A2" w:rsidRDefault="00EB5A45" w:rsidP="005978A2">
      <w:pPr>
        <w:pStyle w:val="ListParagraph"/>
        <w:numPr>
          <w:ilvl w:val="1"/>
          <w:numId w:val="17"/>
        </w:numPr>
        <w:ind w:left="1134" w:hanging="708"/>
      </w:pPr>
      <w:r>
        <w:t>Domestic visitors spent £11.1bn on attractions and £4bn on museums and art galleries</w:t>
      </w:r>
    </w:p>
    <w:p w14:paraId="66F18317" w14:textId="77777777" w:rsidR="00B90026" w:rsidRDefault="00B90026" w:rsidP="00B90026">
      <w:pPr>
        <w:pStyle w:val="ListParagraph"/>
        <w:numPr>
          <w:ilvl w:val="0"/>
          <w:numId w:val="0"/>
        </w:numPr>
        <w:ind w:left="360"/>
        <w:rPr>
          <w:rFonts w:eastAsia="Arial" w:cs="Arial"/>
        </w:rPr>
      </w:pPr>
    </w:p>
    <w:p w14:paraId="322B6BC5" w14:textId="225170F3" w:rsidR="00C268D9" w:rsidRDefault="00B90026" w:rsidP="004234F7">
      <w:pPr>
        <w:pStyle w:val="ListParagraph"/>
        <w:numPr>
          <w:ilvl w:val="0"/>
          <w:numId w:val="17"/>
        </w:numPr>
        <w:rPr>
          <w:rFonts w:eastAsia="Arial" w:cs="Arial"/>
          <w:b/>
          <w:bCs/>
        </w:rPr>
      </w:pPr>
      <w:r w:rsidRPr="00C268D9">
        <w:rPr>
          <w:rFonts w:eastAsia="Arial" w:cs="Arial"/>
          <w:b/>
          <w:bCs/>
        </w:rPr>
        <w:t xml:space="preserve">Mission 11 </w:t>
      </w:r>
      <w:r w:rsidR="00C268D9" w:rsidRPr="00C268D9">
        <w:rPr>
          <w:rFonts w:eastAsia="Arial" w:cs="Arial"/>
          <w:b/>
          <w:bCs/>
        </w:rPr>
        <w:t>Neighbourhood crime</w:t>
      </w:r>
      <w:r w:rsidR="00C82375">
        <w:rPr>
          <w:rFonts w:eastAsia="Arial" w:cs="Arial"/>
          <w:b/>
          <w:bCs/>
        </w:rPr>
        <w:t xml:space="preserve"> and </w:t>
      </w:r>
      <w:r w:rsidR="002564CF">
        <w:rPr>
          <w:rFonts w:eastAsia="Arial" w:cs="Arial"/>
          <w:b/>
          <w:bCs/>
        </w:rPr>
        <w:t>community</w:t>
      </w:r>
      <w:r w:rsidR="00C82375">
        <w:rPr>
          <w:rFonts w:eastAsia="Arial" w:cs="Arial"/>
          <w:b/>
          <w:bCs/>
        </w:rPr>
        <w:t xml:space="preserve"> cohesion</w:t>
      </w:r>
      <w:r w:rsidR="00C268D9" w:rsidRPr="00C268D9">
        <w:rPr>
          <w:rFonts w:eastAsia="Arial" w:cs="Arial"/>
          <w:b/>
          <w:bCs/>
        </w:rPr>
        <w:t>:</w:t>
      </w:r>
    </w:p>
    <w:p w14:paraId="2966DA0B" w14:textId="77777777" w:rsidR="005978A2" w:rsidRDefault="005978A2" w:rsidP="005978A2">
      <w:pPr>
        <w:pStyle w:val="ListParagraph"/>
        <w:numPr>
          <w:ilvl w:val="0"/>
          <w:numId w:val="0"/>
        </w:numPr>
        <w:ind w:left="420"/>
        <w:rPr>
          <w:rFonts w:eastAsia="Arial" w:cs="Arial"/>
          <w:b/>
          <w:bCs/>
        </w:rPr>
      </w:pPr>
    </w:p>
    <w:p w14:paraId="034B2B45" w14:textId="7DC2BA79" w:rsidR="00C268D9" w:rsidRPr="005978A2" w:rsidRDefault="00C268D9" w:rsidP="004234F7">
      <w:pPr>
        <w:pStyle w:val="ListParagraph"/>
        <w:numPr>
          <w:ilvl w:val="1"/>
          <w:numId w:val="17"/>
        </w:numPr>
        <w:ind w:left="1134" w:hanging="708"/>
        <w:rPr>
          <w:b/>
        </w:rPr>
      </w:pPr>
      <w:r w:rsidRPr="00C268D9">
        <w:rPr>
          <w:rFonts w:eastAsia="Arial" w:cs="Arial"/>
        </w:rPr>
        <w:t>Returns on investment in sports programmes for at-risk youth are estimated at £7.35 of social benefit for every £1 spent—through financial savings to police, the criminal justice system and the community.</w:t>
      </w:r>
      <w:r w:rsidR="00633DEA">
        <w:rPr>
          <w:rFonts w:eastAsia="Arial" w:cs="Arial"/>
        </w:rPr>
        <w:t xml:space="preserve"> (2018) </w:t>
      </w:r>
    </w:p>
    <w:p w14:paraId="32789DC2" w14:textId="77777777" w:rsidR="005978A2" w:rsidRPr="00C268D9" w:rsidRDefault="005978A2" w:rsidP="005978A2">
      <w:pPr>
        <w:pStyle w:val="ListParagraph"/>
        <w:numPr>
          <w:ilvl w:val="0"/>
          <w:numId w:val="0"/>
        </w:numPr>
        <w:ind w:left="1134"/>
        <w:rPr>
          <w:b/>
        </w:rPr>
      </w:pPr>
    </w:p>
    <w:p w14:paraId="2344A6DC" w14:textId="1EE4B43D" w:rsidR="6D0B6C58" w:rsidRDefault="6D0B6C58" w:rsidP="004234F7">
      <w:pPr>
        <w:pStyle w:val="ListParagraph"/>
        <w:numPr>
          <w:ilvl w:val="0"/>
          <w:numId w:val="17"/>
        </w:numPr>
        <w:rPr>
          <w:rFonts w:eastAsia="Arial" w:cs="Arial"/>
          <w:color w:val="1D1D1B"/>
        </w:rPr>
      </w:pPr>
      <w:r w:rsidRPr="4D69A91F">
        <w:rPr>
          <w:rFonts w:eastAsia="Arial" w:cs="Arial"/>
          <w:color w:val="1D1D1B"/>
        </w:rPr>
        <w:t xml:space="preserve">The National Criminal Justice Arts Alliance’s Re-Imagining Futures report </w:t>
      </w:r>
      <w:hyperlink r:id="rId34">
        <w:r w:rsidRPr="4D69A91F">
          <w:rPr>
            <w:rStyle w:val="Hyperlink"/>
            <w:rFonts w:eastAsia="Arial" w:cs="Arial"/>
          </w:rPr>
          <w:t>demonstrates a clear link between taking part in arts based activities and the movement towards a long-term, non-offending future</w:t>
        </w:r>
      </w:hyperlink>
      <w:r w:rsidRPr="4D69A91F">
        <w:rPr>
          <w:rFonts w:eastAsia="Arial" w:cs="Arial"/>
          <w:color w:val="1D1D1B"/>
        </w:rPr>
        <w:t>. It reported that arts projects enable individuals to redefine themselves, engage with productive activities and improve their ability to co-operate with others.</w:t>
      </w:r>
    </w:p>
    <w:p w14:paraId="56743464" w14:textId="1DE8E65C" w:rsidR="6D0B6C58" w:rsidRDefault="4D69A91F" w:rsidP="004234F7">
      <w:pPr>
        <w:pStyle w:val="ListParagraph"/>
        <w:numPr>
          <w:ilvl w:val="0"/>
          <w:numId w:val="17"/>
        </w:numPr>
        <w:rPr>
          <w:rFonts w:eastAsia="Arial" w:cs="Arial"/>
          <w:color w:val="1D1D1B"/>
        </w:rPr>
      </w:pPr>
      <w:r w:rsidRPr="4D69A91F">
        <w:rPr>
          <w:rFonts w:eastAsia="Arial" w:cs="Arial"/>
          <w:color w:val="1D1D1B"/>
        </w:rPr>
        <w:t xml:space="preserve">Data submitted to the Justice Data Lab by Prisoners’ Education Trust, which delivers distance-learning courses, suggests that its </w:t>
      </w:r>
      <w:hyperlink r:id="rId35">
        <w:r w:rsidRPr="4D69A91F">
          <w:rPr>
            <w:rStyle w:val="Hyperlink"/>
            <w:rFonts w:eastAsia="Arial" w:cs="Arial"/>
          </w:rPr>
          <w:t>input can reduce reoffending by over a quarter compared to a matched control group</w:t>
        </w:r>
      </w:hyperlink>
      <w:r w:rsidRPr="4D69A91F">
        <w:rPr>
          <w:rFonts w:eastAsia="Arial" w:cs="Arial"/>
          <w:color w:val="1D1D1B"/>
        </w:rPr>
        <w:t xml:space="preserve">. Grants made for arts materials resulted in reducing the reoffending rate from 35% to 30%. More information on this topic can be found on the National Criminal Justice Arts Alliance </w:t>
      </w:r>
      <w:hyperlink r:id="rId36">
        <w:r w:rsidRPr="4D69A91F">
          <w:rPr>
            <w:rStyle w:val="Hyperlink"/>
            <w:rFonts w:eastAsia="Arial" w:cs="Arial"/>
          </w:rPr>
          <w:t>evidence resource</w:t>
        </w:r>
      </w:hyperlink>
      <w:r w:rsidRPr="4D69A91F">
        <w:rPr>
          <w:rFonts w:eastAsia="Arial" w:cs="Arial"/>
          <w:color w:val="1D1D1B"/>
        </w:rPr>
        <w:t xml:space="preserve">. </w:t>
      </w:r>
    </w:p>
    <w:p w14:paraId="0ADA244D" w14:textId="44C3CE89" w:rsidR="00B408CF" w:rsidRDefault="00DB5E67" w:rsidP="004234F7">
      <w:pPr>
        <w:pStyle w:val="ListParagraph"/>
        <w:numPr>
          <w:ilvl w:val="0"/>
          <w:numId w:val="17"/>
        </w:numPr>
        <w:rPr>
          <w:rFonts w:eastAsia="Arial" w:cs="Arial"/>
          <w:color w:val="1D1D1B"/>
        </w:rPr>
      </w:pPr>
      <w:r>
        <w:t>After going to work/school/ college together (40</w:t>
      </w:r>
      <w:r w:rsidR="00DB0C69">
        <w:t xml:space="preserve"> per cent</w:t>
      </w:r>
      <w:r>
        <w:t xml:space="preserve">), sharing hobbies and going to </w:t>
      </w:r>
      <w:hyperlink r:id="rId37" w:history="1">
        <w:r w:rsidRPr="00DD3486">
          <w:rPr>
            <w:rStyle w:val="Hyperlink"/>
          </w:rPr>
          <w:t>sports clubs (29</w:t>
        </w:r>
        <w:r w:rsidR="00DB0C69" w:rsidRPr="00DD3486">
          <w:rPr>
            <w:rStyle w:val="Hyperlink"/>
          </w:rPr>
          <w:t xml:space="preserve"> per cent</w:t>
        </w:r>
        <w:r w:rsidRPr="00DD3486">
          <w:rPr>
            <w:rStyle w:val="Hyperlink"/>
          </w:rPr>
          <w:t>) was the most frequent public response for how people from different backgrounds could be encouraged to mix more</w:t>
        </w:r>
      </w:hyperlink>
      <w:r w:rsidR="002564CF">
        <w:t>.</w:t>
      </w:r>
      <w:r w:rsidR="00B21E2A">
        <w:t>(</w:t>
      </w:r>
      <w:r w:rsidR="00DD3486">
        <w:t xml:space="preserve">DCLG, </w:t>
      </w:r>
      <w:r w:rsidR="00B21E2A">
        <w:t>2011)</w:t>
      </w:r>
    </w:p>
    <w:p w14:paraId="0DDB23B5" w14:textId="62C88624" w:rsidR="006B42BC" w:rsidRDefault="00AF45CD" w:rsidP="00B90026">
      <w:pPr>
        <w:rPr>
          <w:rFonts w:eastAsia="Arial" w:cs="Arial"/>
          <w:b/>
          <w:bCs/>
        </w:rPr>
      </w:pPr>
      <w:r w:rsidRPr="00AF45CD">
        <w:rPr>
          <w:rFonts w:eastAsia="Arial" w:cs="Arial"/>
          <w:b/>
          <w:bCs/>
        </w:rPr>
        <w:t>LGA deliverables</w:t>
      </w:r>
    </w:p>
    <w:p w14:paraId="41CEF2B0" w14:textId="75ECC6F1" w:rsidR="00AF45CD" w:rsidRDefault="00AF45CD" w:rsidP="004234F7">
      <w:pPr>
        <w:pStyle w:val="ListParagraph"/>
        <w:numPr>
          <w:ilvl w:val="0"/>
          <w:numId w:val="17"/>
        </w:numPr>
      </w:pPr>
      <w:r>
        <w:t>The narrative and objectives of the Levelling Up white paper complement existing Board work, such as:</w:t>
      </w:r>
    </w:p>
    <w:p w14:paraId="0C3D7D3C" w14:textId="77777777" w:rsidR="005978A2" w:rsidRPr="005978A2" w:rsidRDefault="00AF45CD" w:rsidP="005978A2">
      <w:pPr>
        <w:pStyle w:val="ListParagraph"/>
        <w:numPr>
          <w:ilvl w:val="1"/>
          <w:numId w:val="17"/>
        </w:numPr>
        <w:ind w:left="993" w:hanging="567"/>
        <w:rPr>
          <w:rStyle w:val="Hyperlink"/>
          <w:color w:val="auto"/>
          <w:u w:val="none"/>
        </w:rPr>
      </w:pPr>
      <w:r>
        <w:t xml:space="preserve">Culture - </w:t>
      </w:r>
      <w:hyperlink r:id="rId38">
        <w:r w:rsidR="003C6A00" w:rsidRPr="00245FFD">
          <w:rPr>
            <w:rStyle w:val="Hyperlink"/>
            <w:rFonts w:cs="Arial"/>
          </w:rPr>
          <w:t>Culture-led Regeneration: achieving inclusive and sustainable growth,</w:t>
        </w:r>
      </w:hyperlink>
      <w:r w:rsidR="003C6A00" w:rsidRPr="00245FFD">
        <w:rPr>
          <w:rFonts w:cs="Arial"/>
        </w:rPr>
        <w:t xml:space="preserve"> our guide to place-based cultural strategies </w:t>
      </w:r>
      <w:hyperlink r:id="rId39">
        <w:r w:rsidR="003C6A00" w:rsidRPr="00245FFD">
          <w:rPr>
            <w:rStyle w:val="Hyperlink"/>
            <w:rFonts w:cs="Arial"/>
          </w:rPr>
          <w:t>a Cultural Strategy in a Box</w:t>
        </w:r>
      </w:hyperlink>
      <w:r w:rsidR="003C6A00" w:rsidRPr="00245FFD">
        <w:rPr>
          <w:rFonts w:cs="Arial"/>
        </w:rPr>
        <w:t xml:space="preserve"> </w:t>
      </w:r>
      <w:r w:rsidR="00237DF4">
        <w:rPr>
          <w:rFonts w:cs="Arial"/>
        </w:rPr>
        <w:t xml:space="preserve">, </w:t>
      </w:r>
      <w:r w:rsidR="00237DF4" w:rsidRPr="00245FFD">
        <w:rPr>
          <w:rFonts w:cs="Arial"/>
        </w:rPr>
        <w:t xml:space="preserve">recent guide to </w:t>
      </w:r>
      <w:hyperlink r:id="rId40" w:history="1">
        <w:r w:rsidR="00237DF4" w:rsidRPr="00245FFD">
          <w:rPr>
            <w:rStyle w:val="Hyperlink"/>
            <w:rFonts w:cs="Arial"/>
          </w:rPr>
          <w:t>Culture and the creative industries</w:t>
        </w:r>
      </w:hyperlink>
      <w:r w:rsidR="00237DF4" w:rsidRPr="00245FFD">
        <w:rPr>
          <w:rFonts w:cs="Arial"/>
        </w:rPr>
        <w:t xml:space="preserve"> </w:t>
      </w:r>
      <w:r w:rsidR="003C6A00" w:rsidRPr="00245FFD">
        <w:rPr>
          <w:rFonts w:cs="Arial"/>
        </w:rPr>
        <w:t xml:space="preserve">and the LGA/Arts Council England </w:t>
      </w:r>
      <w:hyperlink r:id="rId41">
        <w:r w:rsidR="003C6A00" w:rsidRPr="00245FFD">
          <w:rPr>
            <w:rStyle w:val="Hyperlink"/>
            <w:rFonts w:cs="Arial"/>
          </w:rPr>
          <w:t>Culture Hub</w:t>
        </w:r>
      </w:hyperlink>
      <w:r w:rsidR="003C6A00">
        <w:rPr>
          <w:rStyle w:val="Hyperlink"/>
          <w:rFonts w:cs="Arial"/>
        </w:rPr>
        <w:t xml:space="preserve">. </w:t>
      </w:r>
    </w:p>
    <w:p w14:paraId="6DF0A343" w14:textId="77777777" w:rsidR="005978A2" w:rsidRPr="005978A2" w:rsidRDefault="00237DF4" w:rsidP="005978A2">
      <w:pPr>
        <w:pStyle w:val="ListParagraph"/>
        <w:numPr>
          <w:ilvl w:val="1"/>
          <w:numId w:val="17"/>
        </w:numPr>
        <w:ind w:left="993" w:hanging="567"/>
        <w:rPr>
          <w:rStyle w:val="Hyperlink"/>
          <w:color w:val="auto"/>
          <w:u w:val="none"/>
        </w:rPr>
      </w:pPr>
      <w:r w:rsidRPr="005978A2">
        <w:rPr>
          <w:rStyle w:val="Hyperlink"/>
          <w:rFonts w:cs="Arial"/>
          <w:color w:val="auto"/>
          <w:u w:val="none"/>
        </w:rPr>
        <w:lastRenderedPageBreak/>
        <w:t xml:space="preserve">Sport and physical activity – </w:t>
      </w:r>
      <w:hyperlink r:id="rId42" w:history="1">
        <w:r w:rsidRPr="005978A2">
          <w:rPr>
            <w:rStyle w:val="Hyperlink"/>
            <w:rFonts w:cs="Arial"/>
          </w:rPr>
          <w:t>Securing the future of public sport and leisure</w:t>
        </w:r>
      </w:hyperlink>
      <w:r w:rsidR="00A82169" w:rsidRPr="005978A2">
        <w:rPr>
          <w:rStyle w:val="Hyperlink"/>
          <w:rFonts w:cs="Arial"/>
          <w:color w:val="auto"/>
          <w:u w:val="none"/>
        </w:rPr>
        <w:t>.</w:t>
      </w:r>
    </w:p>
    <w:p w14:paraId="1BE48FAB" w14:textId="6C7C0C4C" w:rsidR="00372FE0" w:rsidRPr="005978A2" w:rsidRDefault="00372FE0" w:rsidP="005978A2">
      <w:pPr>
        <w:pStyle w:val="ListParagraph"/>
        <w:numPr>
          <w:ilvl w:val="1"/>
          <w:numId w:val="17"/>
        </w:numPr>
        <w:ind w:left="993" w:hanging="567"/>
        <w:rPr>
          <w:rStyle w:val="Hyperlink"/>
          <w:color w:val="auto"/>
          <w:u w:val="none"/>
        </w:rPr>
      </w:pPr>
      <w:r w:rsidRPr="005978A2">
        <w:rPr>
          <w:rStyle w:val="Hyperlink"/>
          <w:rFonts w:cs="Arial"/>
          <w:color w:val="auto"/>
          <w:u w:val="none"/>
        </w:rPr>
        <w:t xml:space="preserve">Visitor economy </w:t>
      </w:r>
      <w:r w:rsidR="009739E4" w:rsidRPr="005978A2">
        <w:rPr>
          <w:rStyle w:val="Hyperlink"/>
          <w:rFonts w:cs="Arial"/>
          <w:color w:val="auto"/>
          <w:u w:val="none"/>
        </w:rPr>
        <w:t>–</w:t>
      </w:r>
      <w:r w:rsidRPr="005978A2">
        <w:rPr>
          <w:rStyle w:val="Hyperlink"/>
          <w:rFonts w:cs="Arial"/>
          <w:color w:val="auto"/>
          <w:u w:val="none"/>
        </w:rPr>
        <w:t xml:space="preserve"> </w:t>
      </w:r>
      <w:hyperlink r:id="rId43" w:history="1">
        <w:r w:rsidR="009739E4" w:rsidRPr="005978A2">
          <w:rPr>
            <w:rStyle w:val="Hyperlink"/>
            <w:rFonts w:cs="Arial"/>
          </w:rPr>
          <w:t>Supplying skills for the local visitor economy</w:t>
        </w:r>
      </w:hyperlink>
      <w:r w:rsidR="009739E4" w:rsidRPr="005978A2">
        <w:rPr>
          <w:rStyle w:val="Hyperlink"/>
          <w:rFonts w:cs="Arial"/>
          <w:color w:val="auto"/>
          <w:u w:val="none"/>
        </w:rPr>
        <w:t>.</w:t>
      </w:r>
    </w:p>
    <w:p w14:paraId="0B3238A6" w14:textId="77777777" w:rsidR="009739E4" w:rsidRPr="009739E4" w:rsidRDefault="009739E4" w:rsidP="009739E4">
      <w:pPr>
        <w:pStyle w:val="ListParagraph"/>
        <w:numPr>
          <w:ilvl w:val="0"/>
          <w:numId w:val="0"/>
        </w:numPr>
        <w:ind w:left="792"/>
        <w:rPr>
          <w:rStyle w:val="Hyperlink"/>
          <w:color w:val="auto"/>
          <w:u w:val="none"/>
        </w:rPr>
      </w:pPr>
    </w:p>
    <w:p w14:paraId="086E97BA" w14:textId="203168ED" w:rsidR="009739E4" w:rsidRDefault="009739E4" w:rsidP="004234F7">
      <w:pPr>
        <w:pStyle w:val="ListParagraph"/>
        <w:numPr>
          <w:ilvl w:val="0"/>
          <w:numId w:val="17"/>
        </w:numPr>
      </w:pPr>
      <w:r>
        <w:t xml:space="preserve">The new </w:t>
      </w:r>
      <w:hyperlink r:id="rId44" w:history="1">
        <w:r w:rsidRPr="005446E2">
          <w:rPr>
            <w:rStyle w:val="Hyperlink"/>
          </w:rPr>
          <w:t>Culture Commission</w:t>
        </w:r>
      </w:hyperlink>
      <w:r>
        <w:t xml:space="preserve"> will be operating in th</w:t>
      </w:r>
      <w:r w:rsidR="00872F14">
        <w:t xml:space="preserve">e levelling up space between March and December 2022 and should provide the key focus and opportunity for communicating the importance of council cultural services to levelling up. The LGA improvement programme with ACE (see later item), will also be able to provide direct support to members on understanding levelling up and </w:t>
      </w:r>
      <w:r w:rsidR="00E400E3">
        <w:t xml:space="preserve">opportunities for enhancing local services. </w:t>
      </w:r>
    </w:p>
    <w:p w14:paraId="6D42218A" w14:textId="77777777" w:rsidR="00E400E3" w:rsidRDefault="00E400E3" w:rsidP="00E400E3">
      <w:pPr>
        <w:pStyle w:val="ListParagraph"/>
        <w:numPr>
          <w:ilvl w:val="0"/>
          <w:numId w:val="0"/>
        </w:numPr>
        <w:ind w:left="360"/>
      </w:pPr>
    </w:p>
    <w:p w14:paraId="4621B454" w14:textId="510C17CD" w:rsidR="00322195" w:rsidRDefault="00A82169" w:rsidP="004234F7">
      <w:pPr>
        <w:pStyle w:val="ListParagraph"/>
        <w:numPr>
          <w:ilvl w:val="0"/>
          <w:numId w:val="17"/>
        </w:numPr>
      </w:pPr>
      <w:r>
        <w:t xml:space="preserve">We will be publishing five briefings to </w:t>
      </w:r>
      <w:r w:rsidR="00F95C3C">
        <w:t xml:space="preserve">help communicate ‘Securing the future’ to councils, supplementing a </w:t>
      </w:r>
      <w:proofErr w:type="spellStart"/>
      <w:r w:rsidR="00F95C3C">
        <w:t>powerpoint</w:t>
      </w:r>
      <w:proofErr w:type="spellEnd"/>
      <w:r w:rsidR="00F95C3C">
        <w:t xml:space="preserve"> presentation that has been circulated</w:t>
      </w:r>
      <w:r w:rsidR="00A63758">
        <w:t xml:space="preserve"> to Heads of Service</w:t>
      </w:r>
      <w:r w:rsidR="00F95C3C">
        <w:t>. The LGA</w:t>
      </w:r>
      <w:r w:rsidR="00322195">
        <w:t xml:space="preserve">/Sport England improvement programme also offers an opportunity to connect officers and councillors to this agenda. </w:t>
      </w:r>
    </w:p>
    <w:p w14:paraId="160FE212" w14:textId="77777777" w:rsidR="00322195" w:rsidRDefault="00322195" w:rsidP="00322195">
      <w:pPr>
        <w:pStyle w:val="ListParagraph"/>
        <w:numPr>
          <w:ilvl w:val="0"/>
          <w:numId w:val="0"/>
        </w:numPr>
        <w:ind w:left="360"/>
      </w:pPr>
    </w:p>
    <w:p w14:paraId="6C58B5DB" w14:textId="67721C5D" w:rsidR="00872F14" w:rsidRPr="00237DF4" w:rsidRDefault="0076116E" w:rsidP="004234F7">
      <w:pPr>
        <w:pStyle w:val="ListParagraph"/>
        <w:numPr>
          <w:ilvl w:val="0"/>
          <w:numId w:val="17"/>
        </w:numPr>
      </w:pPr>
      <w:r>
        <w:t>This year’s CTS workshop at the LGA’s annual conference will focus on heritage and the visitor economy</w:t>
      </w:r>
      <w:r w:rsidR="00597CB0">
        <w:t xml:space="preserve">; and improvement colleagues have run a </w:t>
      </w:r>
      <w:r w:rsidR="00DB1E9F">
        <w:t>well-attended workshop on the visitor economy on 9 March</w:t>
      </w:r>
      <w:r>
        <w:t>. However, there is a gap in LGA support on the visitor economy</w:t>
      </w:r>
      <w:r w:rsidR="00597CB0">
        <w:t xml:space="preserve"> and an increasing demand from members for support on this area. </w:t>
      </w:r>
      <w:r w:rsidR="00DB1E9F">
        <w:t xml:space="preserve">It is also clear from the white paper and the selected evidence base </w:t>
      </w:r>
      <w:r w:rsidR="00EF0F1A">
        <w:t xml:space="preserve">above, that more work is needed to fully integrate the visitor economy in the levelling up narrative and local aspirations, </w:t>
      </w:r>
      <w:r w:rsidR="00ED407C">
        <w:t>and to build the evidence base of this impact. I</w:t>
      </w:r>
      <w:r w:rsidR="00EF0F1A">
        <w:t>t is important to note that several successful Levelling Up Fund and Community Renewal Fund bids</w:t>
      </w:r>
      <w:r w:rsidR="00F95C3C">
        <w:t xml:space="preserve"> </w:t>
      </w:r>
      <w:r w:rsidR="00EF0F1A">
        <w:t xml:space="preserve">focused on improvements to local visitor economies. The Board </w:t>
      </w:r>
      <w:r w:rsidR="00ED407C">
        <w:t>will</w:t>
      </w:r>
      <w:r w:rsidR="00EF0F1A">
        <w:t xml:space="preserve"> wish to consider </w:t>
      </w:r>
      <w:r w:rsidR="00793C23">
        <w:t xml:space="preserve">if this needs to </w:t>
      </w:r>
      <w:r w:rsidR="00ED407C">
        <w:t xml:space="preserve">be addressed when allocating </w:t>
      </w:r>
      <w:r w:rsidR="00552772">
        <w:t xml:space="preserve">the CTS budget at the next Board meeting. </w:t>
      </w:r>
    </w:p>
    <w:p w14:paraId="22A47DE0" w14:textId="53DEB7BA" w:rsidR="00CA1CBC" w:rsidRDefault="007628BA" w:rsidP="00D7054E">
      <w:pPr>
        <w:ind w:left="0" w:firstLine="0"/>
        <w:rPr>
          <w:b/>
        </w:rPr>
      </w:pPr>
      <w:r>
        <w:rPr>
          <w:b/>
        </w:rPr>
        <w:t>Implications for Wales</w:t>
      </w:r>
    </w:p>
    <w:p w14:paraId="09E88783" w14:textId="40485BE8" w:rsidR="00B528FA" w:rsidRPr="00B528FA" w:rsidRDefault="00A63758" w:rsidP="004234F7">
      <w:pPr>
        <w:pStyle w:val="ListParagraph"/>
        <w:numPr>
          <w:ilvl w:val="0"/>
          <w:numId w:val="17"/>
        </w:numPr>
        <w:rPr>
          <w:b/>
          <w:bCs/>
        </w:rPr>
      </w:pPr>
      <w:r>
        <w:t xml:space="preserve">Levelling Up is a UK-wide policy. However, </w:t>
      </w:r>
      <w:r w:rsidR="00682BA9">
        <w:t>the majority of culture, tourism and sport policy and funding is devolved to the relevant administrations. We are part of regular meetings with Culture and Leisure Officers Wales (CLOW)</w:t>
      </w:r>
      <w:r w:rsidR="00A25976">
        <w:t xml:space="preserve"> to share best practice and ideas.</w:t>
      </w:r>
    </w:p>
    <w:p w14:paraId="57C6D3D3" w14:textId="408D5AFE" w:rsidR="00F27503" w:rsidRPr="00B528FA" w:rsidRDefault="00F27503" w:rsidP="00B528FA">
      <w:pPr>
        <w:ind w:left="0" w:firstLine="0"/>
        <w:rPr>
          <w:b/>
          <w:bCs/>
        </w:rPr>
      </w:pPr>
      <w:r w:rsidRPr="00B528FA">
        <w:rPr>
          <w:b/>
          <w:bCs/>
        </w:rPr>
        <w:t xml:space="preserve">Implications for </w:t>
      </w:r>
      <w:r w:rsidR="00DA2701" w:rsidRPr="00B528FA">
        <w:rPr>
          <w:b/>
          <w:bCs/>
        </w:rPr>
        <w:t>inclusion, diversity and equality</w:t>
      </w:r>
    </w:p>
    <w:p w14:paraId="273EA9DD" w14:textId="07D8A1E3" w:rsidR="00A23AAD" w:rsidRDefault="003B1A06" w:rsidP="004234F7">
      <w:pPr>
        <w:pStyle w:val="ListParagraph"/>
        <w:numPr>
          <w:ilvl w:val="0"/>
          <w:numId w:val="17"/>
        </w:numPr>
      </w:pPr>
      <w:r>
        <w:t xml:space="preserve">If successful, </w:t>
      </w:r>
      <w:r w:rsidR="00165ABE">
        <w:t>l</w:t>
      </w:r>
      <w:r w:rsidR="00A23AAD">
        <w:t xml:space="preserve">evelling </w:t>
      </w:r>
      <w:r w:rsidR="00165ABE">
        <w:t>u</w:t>
      </w:r>
      <w:r w:rsidR="00A23AAD">
        <w:t xml:space="preserve">p has significant potential to address </w:t>
      </w:r>
      <w:r>
        <w:t xml:space="preserve">inclusion and equality challenges. However, the white paper operates at a strategic level and </w:t>
      </w:r>
      <w:r w:rsidR="00165ABE">
        <w:t xml:space="preserve">it will be critical that policy implementation and service design, delivered by councils, carefully considers how to </w:t>
      </w:r>
      <w:r w:rsidR="001D468C">
        <w:t xml:space="preserve">build this in effectively. It will be crucial that government provides councils with sufficient development time to engage effectively with different parts of their communities, leading to a place-led and place-driven approach to investment. </w:t>
      </w:r>
    </w:p>
    <w:p w14:paraId="30868999" w14:textId="77777777" w:rsidR="003B1A06" w:rsidRDefault="003B1A06" w:rsidP="003B1A06">
      <w:pPr>
        <w:pStyle w:val="ListParagraph"/>
        <w:numPr>
          <w:ilvl w:val="0"/>
          <w:numId w:val="0"/>
        </w:numPr>
        <w:ind w:left="360"/>
      </w:pPr>
    </w:p>
    <w:p w14:paraId="4B22CB4E" w14:textId="518BE678" w:rsidR="00437081" w:rsidRDefault="0087359C" w:rsidP="004234F7">
      <w:pPr>
        <w:pStyle w:val="ListParagraph"/>
        <w:numPr>
          <w:ilvl w:val="0"/>
          <w:numId w:val="17"/>
        </w:numPr>
      </w:pPr>
      <w:r>
        <w:t xml:space="preserve">The Culture Commission is holding a specific session on social mobility and inclusion. ‘Securing the future’ identifies key groups for support </w:t>
      </w:r>
      <w:r w:rsidR="00A23AAD">
        <w:t xml:space="preserve">in being active. Our improvement programmes and events are checked for speaker diversity and meeting a range of </w:t>
      </w:r>
      <w:r w:rsidR="00A23AAD">
        <w:lastRenderedPageBreak/>
        <w:t xml:space="preserve">learning styles. </w:t>
      </w:r>
      <w:r w:rsidR="00437081">
        <w:t xml:space="preserve">There is a gap in this work on the visitor economy, reflecting comments made earlier about this part of the portfolio. </w:t>
      </w:r>
    </w:p>
    <w:p w14:paraId="10DE443C" w14:textId="43F5EF64" w:rsidR="00437081" w:rsidRDefault="00437081" w:rsidP="00437081">
      <w:pPr>
        <w:pStyle w:val="ListParagraph"/>
        <w:numPr>
          <w:ilvl w:val="0"/>
          <w:numId w:val="0"/>
        </w:numPr>
        <w:ind w:left="360"/>
        <w:rPr>
          <w:b/>
          <w:bCs/>
        </w:rPr>
      </w:pPr>
    </w:p>
    <w:p w14:paraId="4CEDB767" w14:textId="77777777" w:rsidR="005978A2" w:rsidRPr="00437081" w:rsidRDefault="005978A2" w:rsidP="00437081">
      <w:pPr>
        <w:pStyle w:val="ListParagraph"/>
        <w:numPr>
          <w:ilvl w:val="0"/>
          <w:numId w:val="0"/>
        </w:numPr>
        <w:ind w:left="360"/>
        <w:rPr>
          <w:b/>
          <w:bCs/>
        </w:rPr>
      </w:pPr>
    </w:p>
    <w:p w14:paraId="2A9EBE97" w14:textId="2D164A07" w:rsidR="006B3ADF" w:rsidRPr="00437081" w:rsidRDefault="0059647B" w:rsidP="00437081">
      <w:pPr>
        <w:ind w:left="0" w:firstLine="0"/>
      </w:pPr>
      <w:r w:rsidRPr="00437081">
        <w:rPr>
          <w:b/>
          <w:bCs/>
        </w:rPr>
        <w:t>Financial implications</w:t>
      </w:r>
    </w:p>
    <w:p w14:paraId="03AE6250" w14:textId="4EB3136B" w:rsidR="00F2002E" w:rsidRPr="00CB6B10" w:rsidRDefault="00E85FE7" w:rsidP="004234F7">
      <w:pPr>
        <w:pStyle w:val="ListParagraph"/>
        <w:numPr>
          <w:ilvl w:val="0"/>
          <w:numId w:val="17"/>
        </w:numPr>
      </w:pPr>
      <w:r>
        <w:t xml:space="preserve">There are no immediate financial implications for this policy. </w:t>
      </w:r>
    </w:p>
    <w:p w14:paraId="3E59449B" w14:textId="0FD487A9" w:rsidR="00D7054E" w:rsidRDefault="0056496D" w:rsidP="00D7054E">
      <w:pPr>
        <w:ind w:left="0" w:firstLine="0"/>
        <w:rPr>
          <w:b/>
        </w:rPr>
      </w:pPr>
      <w:r>
        <w:rPr>
          <w:b/>
        </w:rPr>
        <w:t>Questions</w:t>
      </w:r>
    </w:p>
    <w:p w14:paraId="52D4DEE2" w14:textId="2EC5AA53" w:rsidR="00D7054E" w:rsidRDefault="006E3F9E" w:rsidP="004234F7">
      <w:pPr>
        <w:pStyle w:val="ListParagraph"/>
        <w:numPr>
          <w:ilvl w:val="0"/>
          <w:numId w:val="17"/>
        </w:numPr>
      </w:pPr>
      <w:r>
        <w:t>The Board is invited to consider the following questions:</w:t>
      </w:r>
    </w:p>
    <w:p w14:paraId="7023FE0D" w14:textId="77777777" w:rsidR="005978A2" w:rsidRDefault="005978A2" w:rsidP="005978A2">
      <w:pPr>
        <w:pStyle w:val="ListParagraph"/>
        <w:numPr>
          <w:ilvl w:val="0"/>
          <w:numId w:val="0"/>
        </w:numPr>
        <w:ind w:left="420"/>
      </w:pPr>
    </w:p>
    <w:p w14:paraId="334A719F" w14:textId="77777777" w:rsidR="005978A2" w:rsidRDefault="006E3F9E" w:rsidP="005978A2">
      <w:pPr>
        <w:pStyle w:val="ListParagraph"/>
        <w:numPr>
          <w:ilvl w:val="1"/>
          <w:numId w:val="17"/>
        </w:numPr>
        <w:ind w:left="993" w:hanging="567"/>
      </w:pPr>
      <w:r>
        <w:t xml:space="preserve">How significant is levelling up as a policy to local areas? </w:t>
      </w:r>
      <w:r w:rsidR="00EB2E18">
        <w:t>To what extent is this driving policy and budgetary conversations</w:t>
      </w:r>
      <w:r w:rsidR="00592638">
        <w:t xml:space="preserve"> in councils</w:t>
      </w:r>
      <w:r w:rsidR="00EB2E18">
        <w:t xml:space="preserve">? </w:t>
      </w:r>
    </w:p>
    <w:p w14:paraId="744F4972" w14:textId="77777777" w:rsidR="005978A2" w:rsidRDefault="00EB2E18" w:rsidP="005978A2">
      <w:pPr>
        <w:pStyle w:val="ListParagraph"/>
        <w:numPr>
          <w:ilvl w:val="1"/>
          <w:numId w:val="17"/>
        </w:numPr>
        <w:ind w:left="993" w:hanging="567"/>
      </w:pPr>
      <w:r>
        <w:t xml:space="preserve">Should we focus on maximising impact where culture, tourism and sport are recognised for deliver </w:t>
      </w:r>
      <w:proofErr w:type="spellStart"/>
      <w:r>
        <w:t>eg</w:t>
      </w:r>
      <w:proofErr w:type="spellEnd"/>
      <w:r>
        <w:t xml:space="preserve"> Pride of Place? Or should we focus our </w:t>
      </w:r>
      <w:r w:rsidR="00610DD5">
        <w:t xml:space="preserve">work with Government on securing better recognition of their contribution to other areas, like economic growth, narrowing life expectancy, or skills and academic attainment? </w:t>
      </w:r>
    </w:p>
    <w:p w14:paraId="65611B21" w14:textId="77777777" w:rsidR="005978A2" w:rsidRDefault="00BC5EF7" w:rsidP="005978A2">
      <w:pPr>
        <w:pStyle w:val="ListParagraph"/>
        <w:numPr>
          <w:ilvl w:val="1"/>
          <w:numId w:val="17"/>
        </w:numPr>
        <w:ind w:left="993" w:hanging="567"/>
      </w:pPr>
      <w:r>
        <w:t xml:space="preserve">Not all parts of the country are identified as levelling up priorities. </w:t>
      </w:r>
      <w:r w:rsidR="00031D0C">
        <w:t>D</w:t>
      </w:r>
      <w:r>
        <w:t>oes this affect our work and support for all LGA member authorities</w:t>
      </w:r>
      <w:r w:rsidR="00031D0C">
        <w:t xml:space="preserve"> in a CTS context</w:t>
      </w:r>
      <w:r>
        <w:t xml:space="preserve">? </w:t>
      </w:r>
    </w:p>
    <w:p w14:paraId="56C87BD5" w14:textId="77777777" w:rsidR="005978A2" w:rsidRDefault="00645C55" w:rsidP="005978A2">
      <w:pPr>
        <w:pStyle w:val="ListParagraph"/>
        <w:numPr>
          <w:ilvl w:val="1"/>
          <w:numId w:val="17"/>
        </w:numPr>
        <w:ind w:left="993" w:hanging="567"/>
      </w:pPr>
      <w:r>
        <w:t xml:space="preserve">Have Board members identified specific support needs or challenges with engagement </w:t>
      </w:r>
      <w:r w:rsidR="001C6518">
        <w:t xml:space="preserve">with levelling up </w:t>
      </w:r>
      <w:r>
        <w:t>in their or neighbouring a</w:t>
      </w:r>
      <w:r w:rsidR="003E3167">
        <w:t>uthorities</w:t>
      </w:r>
      <w:r w:rsidR="00794643">
        <w:t>, that will not be addressed by the LGA activities in paragraphs 34-37</w:t>
      </w:r>
      <w:r w:rsidR="001C6518">
        <w:t>?</w:t>
      </w:r>
    </w:p>
    <w:p w14:paraId="656A6424" w14:textId="77777777" w:rsidR="005978A2" w:rsidRDefault="00904118" w:rsidP="005978A2">
      <w:pPr>
        <w:pStyle w:val="ListParagraph"/>
        <w:numPr>
          <w:ilvl w:val="1"/>
          <w:numId w:val="17"/>
        </w:numPr>
        <w:ind w:left="993" w:hanging="567"/>
      </w:pPr>
      <w:r>
        <w:t>Are there gaps in the evidence base</w:t>
      </w:r>
      <w:r w:rsidR="00130446">
        <w:t xml:space="preserve"> for councils</w:t>
      </w:r>
      <w:r>
        <w:t xml:space="preserve"> that we should be working </w:t>
      </w:r>
      <w:r w:rsidR="00130446">
        <w:t xml:space="preserve">with LG Inform </w:t>
      </w:r>
      <w:r w:rsidR="008832C0">
        <w:t>and/</w:t>
      </w:r>
      <w:r w:rsidR="00130446">
        <w:t>or DCMS colleagues to close?</w:t>
      </w:r>
      <w:r w:rsidR="003E3167">
        <w:t xml:space="preserve"> </w:t>
      </w:r>
    </w:p>
    <w:p w14:paraId="0371C080" w14:textId="0D99EECA" w:rsidR="00631909" w:rsidRDefault="00631909" w:rsidP="005978A2">
      <w:pPr>
        <w:pStyle w:val="ListParagraph"/>
        <w:numPr>
          <w:ilvl w:val="1"/>
          <w:numId w:val="17"/>
        </w:numPr>
        <w:ind w:left="993" w:hanging="567"/>
      </w:pPr>
      <w:r>
        <w:t>What role can the visitor economy play</w:t>
      </w:r>
      <w:r w:rsidR="0056496D">
        <w:t xml:space="preserve"> in levelling up, and if so, what role should the LGA play in supporting that? </w:t>
      </w:r>
    </w:p>
    <w:p w14:paraId="732814B9" w14:textId="77777777" w:rsidR="004F3131" w:rsidRDefault="004F3131" w:rsidP="004F3131">
      <w:pPr>
        <w:pStyle w:val="ListParagraph"/>
        <w:numPr>
          <w:ilvl w:val="0"/>
          <w:numId w:val="0"/>
        </w:numPr>
        <w:ind w:left="792"/>
      </w:pPr>
    </w:p>
    <w:p w14:paraId="729F5EB8" w14:textId="77777777" w:rsidR="009B6F95" w:rsidRDefault="009D2BB0" w:rsidP="00617BA0">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24CCDB61" w14:textId="2A5A5D8D" w:rsidR="009B6F95" w:rsidRPr="005978A2" w:rsidRDefault="00D73C34" w:rsidP="004234F7">
      <w:pPr>
        <w:pStyle w:val="ListParagraph"/>
        <w:numPr>
          <w:ilvl w:val="0"/>
          <w:numId w:val="17"/>
        </w:numPr>
        <w:rPr>
          <w:b/>
        </w:rPr>
      </w:pPr>
      <w:r>
        <w:t>Officers to adapt existing programmes as directed.</w:t>
      </w:r>
    </w:p>
    <w:p w14:paraId="67C3B479" w14:textId="77777777" w:rsidR="005978A2" w:rsidRPr="00D73C34" w:rsidRDefault="005978A2" w:rsidP="005978A2">
      <w:pPr>
        <w:pStyle w:val="ListParagraph"/>
        <w:numPr>
          <w:ilvl w:val="0"/>
          <w:numId w:val="0"/>
        </w:numPr>
        <w:ind w:left="420"/>
        <w:rPr>
          <w:b/>
        </w:rPr>
      </w:pPr>
    </w:p>
    <w:p w14:paraId="59EFA8BB" w14:textId="6DDFB512" w:rsidR="00D73C34" w:rsidRPr="00C2729B" w:rsidRDefault="00D73C34" w:rsidP="004234F7">
      <w:pPr>
        <w:pStyle w:val="ListParagraph"/>
        <w:numPr>
          <w:ilvl w:val="0"/>
          <w:numId w:val="17"/>
        </w:numPr>
        <w:rPr>
          <w:b/>
        </w:rPr>
      </w:pPr>
      <w:r>
        <w:t xml:space="preserve">A </w:t>
      </w:r>
      <w:r w:rsidR="00E16794">
        <w:t>spending proposal paper will be brought to the next CTS Board outlining investment</w:t>
      </w:r>
      <w:r w:rsidR="00653E45">
        <w:t xml:space="preserve"> for the financial year 2022/23</w:t>
      </w:r>
      <w:r w:rsidR="00E754DA">
        <w:t xml:space="preserve"> and will incorporate any levelling up activity requested by the Board</w:t>
      </w:r>
      <w:r w:rsidR="00653E45">
        <w:t xml:space="preserve">. </w:t>
      </w:r>
    </w:p>
    <w:sectPr w:rsidR="00D73C34" w:rsidRPr="00C2729B" w:rsidSect="001B006E">
      <w:headerReference w:type="default" r:id="rId45"/>
      <w:footerReference w:type="default" r:id="rId46"/>
      <w:pgSz w:w="11906" w:h="16838"/>
      <w:pgMar w:top="1440" w:right="1440" w:bottom="709" w:left="144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6123" w14:textId="77777777" w:rsidR="008031D0" w:rsidRPr="00C803F3" w:rsidRDefault="008031D0" w:rsidP="00C803F3">
      <w:r>
        <w:separator/>
      </w:r>
    </w:p>
  </w:endnote>
  <w:endnote w:type="continuationSeparator" w:id="0">
    <w:p w14:paraId="30EEB4E2" w14:textId="77777777" w:rsidR="008031D0" w:rsidRPr="00C803F3" w:rsidRDefault="008031D0" w:rsidP="00C803F3">
      <w:r>
        <w:continuationSeparator/>
      </w:r>
    </w:p>
  </w:endnote>
  <w:endnote w:type="continuationNotice" w:id="1">
    <w:p w14:paraId="5C5241D8" w14:textId="77777777" w:rsidR="008031D0" w:rsidRDefault="00803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037" w14:textId="77777777" w:rsidR="001B006E" w:rsidRDefault="001B006E" w:rsidP="001B006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4B7C4A3" w14:textId="77777777" w:rsidR="001B006E" w:rsidRPr="003D52FE" w:rsidRDefault="001B006E" w:rsidP="001B006E">
    <w:pPr>
      <w:widowControl w:val="0"/>
      <w:spacing w:after="0" w:line="220" w:lineRule="exact"/>
      <w:ind w:left="-709" w:right="-852" w:firstLine="0"/>
      <w:rPr>
        <w:rFonts w:eastAsia="Times New Roman" w:cs="Arial"/>
        <w:sz w:val="15"/>
        <w:szCs w:val="15"/>
        <w:lang w:eastAsia="en-GB"/>
      </w:rPr>
    </w:pPr>
  </w:p>
  <w:p w14:paraId="6F502ED6" w14:textId="23485F67" w:rsidR="00FB0367" w:rsidRDefault="00FB0367">
    <w:pPr>
      <w:pStyle w:val="Footer"/>
      <w:jc w:val="right"/>
    </w:pPr>
  </w:p>
  <w:p w14:paraId="732370A6" w14:textId="77777777" w:rsidR="00FB0367" w:rsidRDefault="00FB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991" w14:textId="77777777" w:rsidR="008031D0" w:rsidRPr="00C803F3" w:rsidRDefault="008031D0" w:rsidP="00C803F3">
      <w:r>
        <w:separator/>
      </w:r>
    </w:p>
  </w:footnote>
  <w:footnote w:type="continuationSeparator" w:id="0">
    <w:p w14:paraId="4D459A19" w14:textId="77777777" w:rsidR="008031D0" w:rsidRPr="00C803F3" w:rsidRDefault="008031D0" w:rsidP="00C803F3">
      <w:r>
        <w:continuationSeparator/>
      </w:r>
    </w:p>
  </w:footnote>
  <w:footnote w:type="continuationNotice" w:id="1">
    <w:p w14:paraId="5C728225" w14:textId="77777777" w:rsidR="008031D0" w:rsidRDefault="00803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056BC3">
      <w:trPr>
        <w:trHeight w:val="416"/>
      </w:trPr>
      <w:tc>
        <w:tcPr>
          <w:tcW w:w="5812" w:type="dxa"/>
          <w:vMerge w:val="restart"/>
        </w:tcPr>
        <w:p w14:paraId="3A5F2EC2" w14:textId="77777777" w:rsidR="009F2011" w:rsidRPr="00C803F3" w:rsidRDefault="009F2011" w:rsidP="00C803F3">
          <w:r w:rsidRPr="00C803F3">
            <w:rPr>
              <w:noProof/>
              <w:lang w:eastAsia="en-GB"/>
            </w:rPr>
            <w:drawing>
              <wp:inline distT="0" distB="0" distL="0" distR="0" wp14:anchorId="49EA2EFD" wp14:editId="38197448">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1138877028"/>
          <w:placeholder>
            <w:docPart w:val="E82C81CF1FFA4ABEBE434B5B73B7C3E5"/>
          </w:placeholder>
        </w:sdtPr>
        <w:sdtEndPr/>
        <w:sdtContent>
          <w:tc>
            <w:tcPr>
              <w:tcW w:w="4106" w:type="dxa"/>
            </w:tcPr>
            <w:p w14:paraId="70919427" w14:textId="164D5C85" w:rsidR="009F2011" w:rsidRPr="00602033" w:rsidRDefault="00602033" w:rsidP="00C803F3">
              <w:pPr>
                <w:rPr>
                  <w:b/>
                  <w:bCs/>
                </w:rPr>
              </w:pPr>
              <w:r w:rsidRPr="00602033">
                <w:rPr>
                  <w:b/>
                  <w:bCs/>
                </w:rPr>
                <w:t xml:space="preserve">Culture, Tourism </w:t>
              </w:r>
              <w:r w:rsidR="009759D1">
                <w:rPr>
                  <w:b/>
                  <w:bCs/>
                </w:rPr>
                <w:t>and</w:t>
              </w:r>
              <w:r w:rsidRPr="00602033">
                <w:rPr>
                  <w:b/>
                  <w:bCs/>
                </w:rPr>
                <w:t xml:space="preserve"> Sport </w:t>
              </w:r>
              <w:r w:rsidR="00E838D7">
                <w:rPr>
                  <w:b/>
                  <w:bCs/>
                </w:rPr>
                <w:t>Board</w:t>
              </w:r>
            </w:p>
          </w:tc>
        </w:sdtContent>
      </w:sdt>
    </w:tr>
    <w:tr w:rsidR="009F2011" w14:paraId="33AFD2FB" w14:textId="77777777" w:rsidTr="00056BC3">
      <w:trPr>
        <w:trHeight w:val="406"/>
      </w:trPr>
      <w:tc>
        <w:tcPr>
          <w:tcW w:w="5812" w:type="dxa"/>
          <w:vMerge/>
        </w:tcPr>
        <w:p w14:paraId="02759E37" w14:textId="77777777" w:rsidR="009F2011" w:rsidRPr="00A627DD" w:rsidRDefault="009F2011" w:rsidP="00C803F3"/>
      </w:tc>
      <w:tc>
        <w:tcPr>
          <w:tcW w:w="4106" w:type="dxa"/>
        </w:tcPr>
        <w:sdt>
          <w:sdtPr>
            <w:alias w:val="Date"/>
            <w:tag w:val="Date"/>
            <w:id w:val="1056053329"/>
            <w:placeholder>
              <w:docPart w:val="DC36D9B85A214F14AB68618A90760C36"/>
            </w:placeholder>
            <w:date w:fullDate="2022-03-16T00:00:00Z">
              <w:dateFormat w:val="dd MMMM yyyy"/>
              <w:lid w:val="en-GB"/>
              <w:storeMappedDataAs w:val="dateTime"/>
              <w:calendar w:val="gregorian"/>
            </w:date>
          </w:sdtPr>
          <w:sdtEndPr/>
          <w:sdtContent>
            <w:p w14:paraId="754358BA" w14:textId="2256A5AE" w:rsidR="009F2011" w:rsidRPr="00C803F3" w:rsidRDefault="00C744A6" w:rsidP="00C803F3">
              <w:r>
                <w:t xml:space="preserve">16 </w:t>
              </w:r>
              <w:r w:rsidR="00E838D7">
                <w:t>March</w:t>
              </w:r>
              <w:r>
                <w:t xml:space="preserve"> 2022</w:t>
              </w:r>
            </w:p>
          </w:sdtContent>
        </w:sdt>
      </w:tc>
    </w:tr>
    <w:tr w:rsidR="009F2011" w:rsidRPr="00C25CA7" w14:paraId="44BE11ED" w14:textId="77777777" w:rsidTr="00056BC3">
      <w:trPr>
        <w:trHeight w:val="89"/>
      </w:trPr>
      <w:tc>
        <w:tcPr>
          <w:tcW w:w="5812" w:type="dxa"/>
          <w:vMerge/>
        </w:tcPr>
        <w:p w14:paraId="7B3DB7E1" w14:textId="77777777" w:rsidR="009F2011" w:rsidRPr="00A627DD" w:rsidRDefault="009F2011" w:rsidP="00C803F3"/>
      </w:tc>
      <w:tc>
        <w:tcPr>
          <w:tcW w:w="4106" w:type="dxa"/>
        </w:tcPr>
        <w:p w14:paraId="09C424A2" w14:textId="23BFBF84" w:rsidR="009F2011" w:rsidRPr="00C803F3" w:rsidRDefault="009F2011" w:rsidP="00530FE9">
          <w:pPr>
            <w:ind w:left="0" w:firstLine="0"/>
          </w:pPr>
        </w:p>
      </w:tc>
    </w:tr>
  </w:tbl>
  <w:p w14:paraId="4AC277FB" w14:textId="77777777" w:rsidR="009F2011" w:rsidRDefault="009F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E52"/>
    <w:multiLevelType w:val="hybridMultilevel"/>
    <w:tmpl w:val="8EEC823E"/>
    <w:lvl w:ilvl="0" w:tplc="0ED695E0">
      <w:start w:val="1"/>
      <w:numFmt w:val="decimal"/>
      <w:lvlText w:val="%1."/>
      <w:lvlJc w:val="left"/>
      <w:pPr>
        <w:ind w:left="780" w:hanging="360"/>
      </w:pPr>
      <w:rPr>
        <w:rFonts w:ascii="Arial" w:eastAsiaTheme="minorHAnsi" w:hAnsi="Arial"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E3455C"/>
    <w:multiLevelType w:val="multilevel"/>
    <w:tmpl w:val="546887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C08C3"/>
    <w:multiLevelType w:val="hybridMultilevel"/>
    <w:tmpl w:val="FFFFFFFF"/>
    <w:lvl w:ilvl="0" w:tplc="B066CB32">
      <w:start w:val="1"/>
      <w:numFmt w:val="bullet"/>
      <w:lvlText w:val=""/>
      <w:lvlJc w:val="left"/>
      <w:pPr>
        <w:ind w:left="1080" w:hanging="360"/>
      </w:pPr>
      <w:rPr>
        <w:rFonts w:ascii="Symbol" w:hAnsi="Symbol" w:hint="default"/>
      </w:rPr>
    </w:lvl>
    <w:lvl w:ilvl="1" w:tplc="DD12A728">
      <w:start w:val="1"/>
      <w:numFmt w:val="bullet"/>
      <w:lvlText w:val="o"/>
      <w:lvlJc w:val="left"/>
      <w:pPr>
        <w:ind w:left="1800" w:hanging="360"/>
      </w:pPr>
      <w:rPr>
        <w:rFonts w:ascii="Courier New" w:hAnsi="Courier New" w:hint="default"/>
      </w:rPr>
    </w:lvl>
    <w:lvl w:ilvl="2" w:tplc="148A750E">
      <w:start w:val="1"/>
      <w:numFmt w:val="bullet"/>
      <w:lvlText w:val=""/>
      <w:lvlJc w:val="left"/>
      <w:pPr>
        <w:ind w:left="2520" w:hanging="360"/>
      </w:pPr>
      <w:rPr>
        <w:rFonts w:ascii="Wingdings" w:hAnsi="Wingdings" w:hint="default"/>
      </w:rPr>
    </w:lvl>
    <w:lvl w:ilvl="3" w:tplc="18A4A00E">
      <w:start w:val="1"/>
      <w:numFmt w:val="bullet"/>
      <w:lvlText w:val=""/>
      <w:lvlJc w:val="left"/>
      <w:pPr>
        <w:ind w:left="3240" w:hanging="360"/>
      </w:pPr>
      <w:rPr>
        <w:rFonts w:ascii="Symbol" w:hAnsi="Symbol" w:hint="default"/>
      </w:rPr>
    </w:lvl>
    <w:lvl w:ilvl="4" w:tplc="D2D4BE0E">
      <w:start w:val="1"/>
      <w:numFmt w:val="bullet"/>
      <w:lvlText w:val="o"/>
      <w:lvlJc w:val="left"/>
      <w:pPr>
        <w:ind w:left="3960" w:hanging="360"/>
      </w:pPr>
      <w:rPr>
        <w:rFonts w:ascii="Courier New" w:hAnsi="Courier New" w:hint="default"/>
      </w:rPr>
    </w:lvl>
    <w:lvl w:ilvl="5" w:tplc="CBF04532">
      <w:start w:val="1"/>
      <w:numFmt w:val="bullet"/>
      <w:lvlText w:val=""/>
      <w:lvlJc w:val="left"/>
      <w:pPr>
        <w:ind w:left="4680" w:hanging="360"/>
      </w:pPr>
      <w:rPr>
        <w:rFonts w:ascii="Wingdings" w:hAnsi="Wingdings" w:hint="default"/>
      </w:rPr>
    </w:lvl>
    <w:lvl w:ilvl="6" w:tplc="23EEE6B2">
      <w:start w:val="1"/>
      <w:numFmt w:val="bullet"/>
      <w:lvlText w:val=""/>
      <w:lvlJc w:val="left"/>
      <w:pPr>
        <w:ind w:left="5400" w:hanging="360"/>
      </w:pPr>
      <w:rPr>
        <w:rFonts w:ascii="Symbol" w:hAnsi="Symbol" w:hint="default"/>
      </w:rPr>
    </w:lvl>
    <w:lvl w:ilvl="7" w:tplc="DFCC4886">
      <w:start w:val="1"/>
      <w:numFmt w:val="bullet"/>
      <w:lvlText w:val="o"/>
      <w:lvlJc w:val="left"/>
      <w:pPr>
        <w:ind w:left="6120" w:hanging="360"/>
      </w:pPr>
      <w:rPr>
        <w:rFonts w:ascii="Courier New" w:hAnsi="Courier New" w:hint="default"/>
      </w:rPr>
    </w:lvl>
    <w:lvl w:ilvl="8" w:tplc="CEBC9E66">
      <w:start w:val="1"/>
      <w:numFmt w:val="bullet"/>
      <w:lvlText w:val=""/>
      <w:lvlJc w:val="left"/>
      <w:pPr>
        <w:ind w:left="6840" w:hanging="360"/>
      </w:pPr>
      <w:rPr>
        <w:rFonts w:ascii="Wingdings" w:hAnsi="Wingdings" w:hint="default"/>
      </w:rPr>
    </w:lvl>
  </w:abstractNum>
  <w:abstractNum w:abstractNumId="3" w15:restartNumberingAfterBreak="0">
    <w:nsid w:val="14B3527C"/>
    <w:multiLevelType w:val="multilevel"/>
    <w:tmpl w:val="643AA38A"/>
    <w:lvl w:ilvl="0">
      <w:start w:val="30"/>
      <w:numFmt w:val="decimal"/>
      <w:lvlText w:val="%1"/>
      <w:lvlJc w:val="left"/>
      <w:pPr>
        <w:ind w:left="600" w:hanging="600"/>
      </w:pPr>
      <w:rPr>
        <w:rFonts w:ascii="Arial" w:eastAsiaTheme="minorHAnsi" w:hAnsi="Arial" w:hint="default"/>
      </w:rPr>
    </w:lvl>
    <w:lvl w:ilvl="1">
      <w:start w:val="3"/>
      <w:numFmt w:val="decimal"/>
      <w:lvlText w:val="%1.%2"/>
      <w:lvlJc w:val="left"/>
      <w:pPr>
        <w:ind w:left="884" w:hanging="600"/>
      </w:pPr>
      <w:rPr>
        <w:rFonts w:ascii="Arial" w:eastAsiaTheme="minorHAnsi" w:hAnsi="Arial" w:hint="default"/>
      </w:rPr>
    </w:lvl>
    <w:lvl w:ilvl="2">
      <w:start w:val="1"/>
      <w:numFmt w:val="decimal"/>
      <w:lvlText w:val="%1.%2.%3"/>
      <w:lvlJc w:val="left"/>
      <w:pPr>
        <w:ind w:left="1572" w:hanging="720"/>
      </w:pPr>
      <w:rPr>
        <w:rFonts w:ascii="Arial" w:eastAsiaTheme="minorHAnsi" w:hAnsi="Arial" w:hint="default"/>
      </w:rPr>
    </w:lvl>
    <w:lvl w:ilvl="3">
      <w:start w:val="1"/>
      <w:numFmt w:val="decimal"/>
      <w:lvlText w:val="%1.%2.%3.%4"/>
      <w:lvlJc w:val="left"/>
      <w:pPr>
        <w:ind w:left="720" w:hanging="720"/>
      </w:pPr>
      <w:rPr>
        <w:rFonts w:ascii="Arial" w:eastAsiaTheme="minorHAnsi" w:hAnsi="Arial" w:hint="default"/>
      </w:rPr>
    </w:lvl>
    <w:lvl w:ilvl="4">
      <w:start w:val="1"/>
      <w:numFmt w:val="decimal"/>
      <w:lvlText w:val="%1.%2.%3.%4.%5"/>
      <w:lvlJc w:val="left"/>
      <w:pPr>
        <w:ind w:left="1080" w:hanging="1080"/>
      </w:pPr>
      <w:rPr>
        <w:rFonts w:ascii="Arial" w:eastAsiaTheme="minorHAnsi" w:hAnsi="Arial" w:hint="default"/>
      </w:rPr>
    </w:lvl>
    <w:lvl w:ilvl="5">
      <w:start w:val="1"/>
      <w:numFmt w:val="decimal"/>
      <w:lvlText w:val="%1.%2.%3.%4.%5.%6"/>
      <w:lvlJc w:val="left"/>
      <w:pPr>
        <w:ind w:left="1080" w:hanging="1080"/>
      </w:pPr>
      <w:rPr>
        <w:rFonts w:ascii="Arial" w:eastAsiaTheme="minorHAnsi" w:hAnsi="Arial" w:hint="default"/>
      </w:rPr>
    </w:lvl>
    <w:lvl w:ilvl="6">
      <w:start w:val="1"/>
      <w:numFmt w:val="decimal"/>
      <w:lvlText w:val="%1.%2.%3.%4.%5.%6.%7"/>
      <w:lvlJc w:val="left"/>
      <w:pPr>
        <w:ind w:left="1440" w:hanging="1440"/>
      </w:pPr>
      <w:rPr>
        <w:rFonts w:ascii="Arial" w:eastAsiaTheme="minorHAnsi" w:hAnsi="Arial" w:hint="default"/>
      </w:rPr>
    </w:lvl>
    <w:lvl w:ilvl="7">
      <w:start w:val="1"/>
      <w:numFmt w:val="decimal"/>
      <w:lvlText w:val="%1.%2.%3.%4.%5.%6.%7.%8"/>
      <w:lvlJc w:val="left"/>
      <w:pPr>
        <w:ind w:left="1440" w:hanging="1440"/>
      </w:pPr>
      <w:rPr>
        <w:rFonts w:ascii="Arial" w:eastAsiaTheme="minorHAnsi" w:hAnsi="Arial" w:hint="default"/>
      </w:rPr>
    </w:lvl>
    <w:lvl w:ilvl="8">
      <w:start w:val="1"/>
      <w:numFmt w:val="decimal"/>
      <w:lvlText w:val="%1.%2.%3.%4.%5.%6.%7.%8.%9"/>
      <w:lvlJc w:val="left"/>
      <w:pPr>
        <w:ind w:left="1440" w:hanging="1440"/>
      </w:pPr>
      <w:rPr>
        <w:rFonts w:ascii="Arial" w:eastAsiaTheme="minorHAnsi" w:hAnsi="Arial" w:hint="default"/>
      </w:rPr>
    </w:lvl>
  </w:abstractNum>
  <w:abstractNum w:abstractNumId="4" w15:restartNumberingAfterBreak="0">
    <w:nsid w:val="1B3E5FAA"/>
    <w:multiLevelType w:val="multilevel"/>
    <w:tmpl w:val="BC4E7116"/>
    <w:lvl w:ilvl="0">
      <w:start w:val="32"/>
      <w:numFmt w:val="decimal"/>
      <w:lvlText w:val="%1"/>
      <w:lvlJc w:val="left"/>
      <w:pPr>
        <w:ind w:left="420" w:hanging="420"/>
      </w:pPr>
      <w:rPr>
        <w:rFonts w:hint="default"/>
        <w:b w:val="0"/>
        <w:bCs w:val="0"/>
      </w:rPr>
    </w:lvl>
    <w:lvl w:ilvl="1">
      <w:start w:val="1"/>
      <w:numFmt w:val="decimal"/>
      <w:lvlText w:val="%1.%2"/>
      <w:lvlJc w:val="left"/>
      <w:pPr>
        <w:ind w:left="846"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A66D4"/>
    <w:multiLevelType w:val="multilevel"/>
    <w:tmpl w:val="39C46634"/>
    <w:lvl w:ilvl="0">
      <w:start w:val="22"/>
      <w:numFmt w:val="decimal"/>
      <w:lvlText w:val="%1"/>
      <w:lvlJc w:val="left"/>
      <w:pPr>
        <w:ind w:left="600" w:hanging="600"/>
      </w:pPr>
      <w:rPr>
        <w:rFonts w:ascii="Arial" w:eastAsiaTheme="minorHAnsi" w:hAnsi="Arial" w:hint="default"/>
      </w:rPr>
    </w:lvl>
    <w:lvl w:ilvl="1">
      <w:start w:val="3"/>
      <w:numFmt w:val="decimal"/>
      <w:lvlText w:val="%1.%2"/>
      <w:lvlJc w:val="left"/>
      <w:pPr>
        <w:ind w:left="600" w:hanging="600"/>
      </w:pPr>
      <w:rPr>
        <w:rFonts w:ascii="Arial" w:eastAsiaTheme="minorHAnsi" w:hAnsi="Arial" w:hint="default"/>
      </w:rPr>
    </w:lvl>
    <w:lvl w:ilvl="2">
      <w:start w:val="1"/>
      <w:numFmt w:val="decimal"/>
      <w:lvlText w:val="%1.%2.%3"/>
      <w:lvlJc w:val="left"/>
      <w:pPr>
        <w:ind w:left="1430" w:hanging="720"/>
      </w:pPr>
      <w:rPr>
        <w:rFonts w:ascii="Arial" w:eastAsiaTheme="minorHAnsi" w:hAnsi="Arial" w:hint="default"/>
      </w:rPr>
    </w:lvl>
    <w:lvl w:ilvl="3">
      <w:start w:val="1"/>
      <w:numFmt w:val="decimal"/>
      <w:lvlText w:val="%1.%2.%3.%4"/>
      <w:lvlJc w:val="left"/>
      <w:pPr>
        <w:ind w:left="720" w:hanging="720"/>
      </w:pPr>
      <w:rPr>
        <w:rFonts w:ascii="Arial" w:eastAsiaTheme="minorHAnsi" w:hAnsi="Arial" w:hint="default"/>
      </w:rPr>
    </w:lvl>
    <w:lvl w:ilvl="4">
      <w:start w:val="1"/>
      <w:numFmt w:val="decimal"/>
      <w:lvlText w:val="%1.%2.%3.%4.%5"/>
      <w:lvlJc w:val="left"/>
      <w:pPr>
        <w:ind w:left="1080" w:hanging="1080"/>
      </w:pPr>
      <w:rPr>
        <w:rFonts w:ascii="Arial" w:eastAsiaTheme="minorHAnsi" w:hAnsi="Arial" w:hint="default"/>
      </w:rPr>
    </w:lvl>
    <w:lvl w:ilvl="5">
      <w:start w:val="1"/>
      <w:numFmt w:val="decimal"/>
      <w:lvlText w:val="%1.%2.%3.%4.%5.%6"/>
      <w:lvlJc w:val="left"/>
      <w:pPr>
        <w:ind w:left="1080" w:hanging="1080"/>
      </w:pPr>
      <w:rPr>
        <w:rFonts w:ascii="Arial" w:eastAsiaTheme="minorHAnsi" w:hAnsi="Arial" w:hint="default"/>
      </w:rPr>
    </w:lvl>
    <w:lvl w:ilvl="6">
      <w:start w:val="1"/>
      <w:numFmt w:val="decimal"/>
      <w:lvlText w:val="%1.%2.%3.%4.%5.%6.%7"/>
      <w:lvlJc w:val="left"/>
      <w:pPr>
        <w:ind w:left="1440" w:hanging="1440"/>
      </w:pPr>
      <w:rPr>
        <w:rFonts w:ascii="Arial" w:eastAsiaTheme="minorHAnsi" w:hAnsi="Arial" w:hint="default"/>
      </w:rPr>
    </w:lvl>
    <w:lvl w:ilvl="7">
      <w:start w:val="1"/>
      <w:numFmt w:val="decimal"/>
      <w:lvlText w:val="%1.%2.%3.%4.%5.%6.%7.%8"/>
      <w:lvlJc w:val="left"/>
      <w:pPr>
        <w:ind w:left="1440" w:hanging="1440"/>
      </w:pPr>
      <w:rPr>
        <w:rFonts w:ascii="Arial" w:eastAsiaTheme="minorHAnsi" w:hAnsi="Arial" w:hint="default"/>
      </w:rPr>
    </w:lvl>
    <w:lvl w:ilvl="8">
      <w:start w:val="1"/>
      <w:numFmt w:val="decimal"/>
      <w:lvlText w:val="%1.%2.%3.%4.%5.%6.%7.%8.%9"/>
      <w:lvlJc w:val="left"/>
      <w:pPr>
        <w:ind w:left="1440" w:hanging="1440"/>
      </w:pPr>
      <w:rPr>
        <w:rFonts w:ascii="Arial" w:eastAsiaTheme="minorHAnsi" w:hAnsi="Arial" w:hint="default"/>
      </w:rPr>
    </w:lvl>
  </w:abstractNum>
  <w:abstractNum w:abstractNumId="6" w15:restartNumberingAfterBreak="0">
    <w:nsid w:val="2393772B"/>
    <w:multiLevelType w:val="multilevel"/>
    <w:tmpl w:val="C18C90F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3600A"/>
    <w:multiLevelType w:val="hybridMultilevel"/>
    <w:tmpl w:val="68D2C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EE72309"/>
    <w:multiLevelType w:val="multilevel"/>
    <w:tmpl w:val="A760C10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143582"/>
    <w:multiLevelType w:val="hybridMultilevel"/>
    <w:tmpl w:val="FFFFFFFF"/>
    <w:lvl w:ilvl="0" w:tplc="DC88C680">
      <w:start w:val="1"/>
      <w:numFmt w:val="bullet"/>
      <w:lvlText w:val=""/>
      <w:lvlJc w:val="left"/>
      <w:pPr>
        <w:ind w:left="1080" w:hanging="360"/>
      </w:pPr>
      <w:rPr>
        <w:rFonts w:ascii="Symbol" w:hAnsi="Symbol" w:hint="default"/>
      </w:rPr>
    </w:lvl>
    <w:lvl w:ilvl="1" w:tplc="BBF4126A">
      <w:start w:val="1"/>
      <w:numFmt w:val="bullet"/>
      <w:lvlText w:val="o"/>
      <w:lvlJc w:val="left"/>
      <w:pPr>
        <w:ind w:left="1800" w:hanging="360"/>
      </w:pPr>
      <w:rPr>
        <w:rFonts w:ascii="Courier New" w:hAnsi="Courier New" w:hint="default"/>
      </w:rPr>
    </w:lvl>
    <w:lvl w:ilvl="2" w:tplc="EDE29004">
      <w:start w:val="1"/>
      <w:numFmt w:val="bullet"/>
      <w:lvlText w:val=""/>
      <w:lvlJc w:val="left"/>
      <w:pPr>
        <w:ind w:left="2520" w:hanging="360"/>
      </w:pPr>
      <w:rPr>
        <w:rFonts w:ascii="Wingdings" w:hAnsi="Wingdings" w:hint="default"/>
      </w:rPr>
    </w:lvl>
    <w:lvl w:ilvl="3" w:tplc="5358D4B8">
      <w:start w:val="1"/>
      <w:numFmt w:val="bullet"/>
      <w:lvlText w:val=""/>
      <w:lvlJc w:val="left"/>
      <w:pPr>
        <w:ind w:left="3240" w:hanging="360"/>
      </w:pPr>
      <w:rPr>
        <w:rFonts w:ascii="Symbol" w:hAnsi="Symbol" w:hint="default"/>
      </w:rPr>
    </w:lvl>
    <w:lvl w:ilvl="4" w:tplc="36AA87E6">
      <w:start w:val="1"/>
      <w:numFmt w:val="bullet"/>
      <w:lvlText w:val="o"/>
      <w:lvlJc w:val="left"/>
      <w:pPr>
        <w:ind w:left="3960" w:hanging="360"/>
      </w:pPr>
      <w:rPr>
        <w:rFonts w:ascii="Courier New" w:hAnsi="Courier New" w:hint="default"/>
      </w:rPr>
    </w:lvl>
    <w:lvl w:ilvl="5" w:tplc="FCD289CE">
      <w:start w:val="1"/>
      <w:numFmt w:val="bullet"/>
      <w:lvlText w:val=""/>
      <w:lvlJc w:val="left"/>
      <w:pPr>
        <w:ind w:left="4680" w:hanging="360"/>
      </w:pPr>
      <w:rPr>
        <w:rFonts w:ascii="Wingdings" w:hAnsi="Wingdings" w:hint="default"/>
      </w:rPr>
    </w:lvl>
    <w:lvl w:ilvl="6" w:tplc="27FAEA5E">
      <w:start w:val="1"/>
      <w:numFmt w:val="bullet"/>
      <w:lvlText w:val=""/>
      <w:lvlJc w:val="left"/>
      <w:pPr>
        <w:ind w:left="5400" w:hanging="360"/>
      </w:pPr>
      <w:rPr>
        <w:rFonts w:ascii="Symbol" w:hAnsi="Symbol" w:hint="default"/>
      </w:rPr>
    </w:lvl>
    <w:lvl w:ilvl="7" w:tplc="ACA82EDA">
      <w:start w:val="1"/>
      <w:numFmt w:val="bullet"/>
      <w:lvlText w:val="o"/>
      <w:lvlJc w:val="left"/>
      <w:pPr>
        <w:ind w:left="6120" w:hanging="360"/>
      </w:pPr>
      <w:rPr>
        <w:rFonts w:ascii="Courier New" w:hAnsi="Courier New" w:hint="default"/>
      </w:rPr>
    </w:lvl>
    <w:lvl w:ilvl="8" w:tplc="C892416A">
      <w:start w:val="1"/>
      <w:numFmt w:val="bullet"/>
      <w:lvlText w:val=""/>
      <w:lvlJc w:val="left"/>
      <w:pPr>
        <w:ind w:left="6840" w:hanging="360"/>
      </w:pPr>
      <w:rPr>
        <w:rFonts w:ascii="Wingdings" w:hAnsi="Wingdings" w:hint="default"/>
      </w:rPr>
    </w:lvl>
  </w:abstractNum>
  <w:abstractNum w:abstractNumId="10" w15:restartNumberingAfterBreak="0">
    <w:nsid w:val="5DEE4528"/>
    <w:multiLevelType w:val="hybridMultilevel"/>
    <w:tmpl w:val="C3D09586"/>
    <w:lvl w:ilvl="0" w:tplc="F896593C">
      <w:start w:val="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556744"/>
    <w:multiLevelType w:val="multilevel"/>
    <w:tmpl w:val="ABE62A7C"/>
    <w:lvl w:ilvl="0">
      <w:start w:val="27"/>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42316A"/>
    <w:multiLevelType w:val="hybridMultilevel"/>
    <w:tmpl w:val="BC663DC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67C24E31"/>
    <w:multiLevelType w:val="hybridMultilevel"/>
    <w:tmpl w:val="FFFFFFFF"/>
    <w:lvl w:ilvl="0" w:tplc="CB18FED2">
      <w:start w:val="1"/>
      <w:numFmt w:val="bullet"/>
      <w:lvlText w:val="·"/>
      <w:lvlJc w:val="left"/>
      <w:pPr>
        <w:ind w:left="720" w:hanging="360"/>
      </w:pPr>
      <w:rPr>
        <w:rFonts w:ascii="Symbol" w:hAnsi="Symbol" w:hint="default"/>
      </w:rPr>
    </w:lvl>
    <w:lvl w:ilvl="1" w:tplc="86DAE746">
      <w:start w:val="1"/>
      <w:numFmt w:val="bullet"/>
      <w:lvlText w:val="o"/>
      <w:lvlJc w:val="left"/>
      <w:pPr>
        <w:ind w:left="1440" w:hanging="360"/>
      </w:pPr>
      <w:rPr>
        <w:rFonts w:ascii="Courier New" w:hAnsi="Courier New" w:hint="default"/>
      </w:rPr>
    </w:lvl>
    <w:lvl w:ilvl="2" w:tplc="F6BC2F48">
      <w:start w:val="1"/>
      <w:numFmt w:val="bullet"/>
      <w:lvlText w:val=""/>
      <w:lvlJc w:val="left"/>
      <w:pPr>
        <w:ind w:left="2160" w:hanging="360"/>
      </w:pPr>
      <w:rPr>
        <w:rFonts w:ascii="Wingdings" w:hAnsi="Wingdings" w:hint="default"/>
      </w:rPr>
    </w:lvl>
    <w:lvl w:ilvl="3" w:tplc="3A1A624E">
      <w:start w:val="1"/>
      <w:numFmt w:val="bullet"/>
      <w:lvlText w:val=""/>
      <w:lvlJc w:val="left"/>
      <w:pPr>
        <w:ind w:left="2880" w:hanging="360"/>
      </w:pPr>
      <w:rPr>
        <w:rFonts w:ascii="Symbol" w:hAnsi="Symbol" w:hint="default"/>
      </w:rPr>
    </w:lvl>
    <w:lvl w:ilvl="4" w:tplc="E26CC366">
      <w:start w:val="1"/>
      <w:numFmt w:val="bullet"/>
      <w:lvlText w:val="o"/>
      <w:lvlJc w:val="left"/>
      <w:pPr>
        <w:ind w:left="3600" w:hanging="360"/>
      </w:pPr>
      <w:rPr>
        <w:rFonts w:ascii="Courier New" w:hAnsi="Courier New" w:hint="default"/>
      </w:rPr>
    </w:lvl>
    <w:lvl w:ilvl="5" w:tplc="9B14D628">
      <w:start w:val="1"/>
      <w:numFmt w:val="bullet"/>
      <w:lvlText w:val=""/>
      <w:lvlJc w:val="left"/>
      <w:pPr>
        <w:ind w:left="4320" w:hanging="360"/>
      </w:pPr>
      <w:rPr>
        <w:rFonts w:ascii="Wingdings" w:hAnsi="Wingdings" w:hint="default"/>
      </w:rPr>
    </w:lvl>
    <w:lvl w:ilvl="6" w:tplc="4296F6DC">
      <w:start w:val="1"/>
      <w:numFmt w:val="bullet"/>
      <w:lvlText w:val=""/>
      <w:lvlJc w:val="left"/>
      <w:pPr>
        <w:ind w:left="5040" w:hanging="360"/>
      </w:pPr>
      <w:rPr>
        <w:rFonts w:ascii="Symbol" w:hAnsi="Symbol" w:hint="default"/>
      </w:rPr>
    </w:lvl>
    <w:lvl w:ilvl="7" w:tplc="16FC236C">
      <w:start w:val="1"/>
      <w:numFmt w:val="bullet"/>
      <w:lvlText w:val="o"/>
      <w:lvlJc w:val="left"/>
      <w:pPr>
        <w:ind w:left="5760" w:hanging="360"/>
      </w:pPr>
      <w:rPr>
        <w:rFonts w:ascii="Courier New" w:hAnsi="Courier New" w:hint="default"/>
      </w:rPr>
    </w:lvl>
    <w:lvl w:ilvl="8" w:tplc="2D8EFB06">
      <w:start w:val="1"/>
      <w:numFmt w:val="bullet"/>
      <w:lvlText w:val=""/>
      <w:lvlJc w:val="left"/>
      <w:pPr>
        <w:ind w:left="6480" w:hanging="360"/>
      </w:pPr>
      <w:rPr>
        <w:rFonts w:ascii="Wingdings" w:hAnsi="Wingdings" w:hint="default"/>
      </w:rPr>
    </w:lvl>
  </w:abstractNum>
  <w:abstractNum w:abstractNumId="14" w15:restartNumberingAfterBreak="0">
    <w:nsid w:val="6B8C1C1E"/>
    <w:multiLevelType w:val="hybridMultilevel"/>
    <w:tmpl w:val="FFFFFFFF"/>
    <w:lvl w:ilvl="0" w:tplc="AFE42C94">
      <w:start w:val="1"/>
      <w:numFmt w:val="bullet"/>
      <w:lvlText w:val=""/>
      <w:lvlJc w:val="left"/>
      <w:pPr>
        <w:ind w:left="1080" w:hanging="360"/>
      </w:pPr>
      <w:rPr>
        <w:rFonts w:ascii="Symbol" w:hAnsi="Symbol" w:hint="default"/>
      </w:rPr>
    </w:lvl>
    <w:lvl w:ilvl="1" w:tplc="A7107C2A">
      <w:start w:val="1"/>
      <w:numFmt w:val="bullet"/>
      <w:lvlText w:val="o"/>
      <w:lvlJc w:val="left"/>
      <w:pPr>
        <w:ind w:left="1800" w:hanging="360"/>
      </w:pPr>
      <w:rPr>
        <w:rFonts w:ascii="Courier New" w:hAnsi="Courier New" w:hint="default"/>
      </w:rPr>
    </w:lvl>
    <w:lvl w:ilvl="2" w:tplc="FA4257C8">
      <w:start w:val="1"/>
      <w:numFmt w:val="bullet"/>
      <w:lvlText w:val=""/>
      <w:lvlJc w:val="left"/>
      <w:pPr>
        <w:ind w:left="2520" w:hanging="360"/>
      </w:pPr>
      <w:rPr>
        <w:rFonts w:ascii="Wingdings" w:hAnsi="Wingdings" w:hint="default"/>
      </w:rPr>
    </w:lvl>
    <w:lvl w:ilvl="3" w:tplc="2CD2B8CE">
      <w:start w:val="1"/>
      <w:numFmt w:val="bullet"/>
      <w:lvlText w:val=""/>
      <w:lvlJc w:val="left"/>
      <w:pPr>
        <w:ind w:left="3240" w:hanging="360"/>
      </w:pPr>
      <w:rPr>
        <w:rFonts w:ascii="Symbol" w:hAnsi="Symbol" w:hint="default"/>
      </w:rPr>
    </w:lvl>
    <w:lvl w:ilvl="4" w:tplc="4688663E">
      <w:start w:val="1"/>
      <w:numFmt w:val="bullet"/>
      <w:lvlText w:val="o"/>
      <w:lvlJc w:val="left"/>
      <w:pPr>
        <w:ind w:left="3960" w:hanging="360"/>
      </w:pPr>
      <w:rPr>
        <w:rFonts w:ascii="Courier New" w:hAnsi="Courier New" w:hint="default"/>
      </w:rPr>
    </w:lvl>
    <w:lvl w:ilvl="5" w:tplc="D938E542">
      <w:start w:val="1"/>
      <w:numFmt w:val="bullet"/>
      <w:lvlText w:val=""/>
      <w:lvlJc w:val="left"/>
      <w:pPr>
        <w:ind w:left="4680" w:hanging="360"/>
      </w:pPr>
      <w:rPr>
        <w:rFonts w:ascii="Wingdings" w:hAnsi="Wingdings" w:hint="default"/>
      </w:rPr>
    </w:lvl>
    <w:lvl w:ilvl="6" w:tplc="A4027512">
      <w:start w:val="1"/>
      <w:numFmt w:val="bullet"/>
      <w:lvlText w:val=""/>
      <w:lvlJc w:val="left"/>
      <w:pPr>
        <w:ind w:left="5400" w:hanging="360"/>
      </w:pPr>
      <w:rPr>
        <w:rFonts w:ascii="Symbol" w:hAnsi="Symbol" w:hint="default"/>
      </w:rPr>
    </w:lvl>
    <w:lvl w:ilvl="7" w:tplc="B5760400">
      <w:start w:val="1"/>
      <w:numFmt w:val="bullet"/>
      <w:lvlText w:val="o"/>
      <w:lvlJc w:val="left"/>
      <w:pPr>
        <w:ind w:left="6120" w:hanging="360"/>
      </w:pPr>
      <w:rPr>
        <w:rFonts w:ascii="Courier New" w:hAnsi="Courier New" w:hint="default"/>
      </w:rPr>
    </w:lvl>
    <w:lvl w:ilvl="8" w:tplc="C406D2B2">
      <w:start w:val="1"/>
      <w:numFmt w:val="bullet"/>
      <w:lvlText w:val=""/>
      <w:lvlJc w:val="left"/>
      <w:pPr>
        <w:ind w:left="6840" w:hanging="360"/>
      </w:pPr>
      <w:rPr>
        <w:rFonts w:ascii="Wingdings" w:hAnsi="Wingdings" w:hint="default"/>
      </w:rPr>
    </w:lvl>
  </w:abstractNum>
  <w:abstractNum w:abstractNumId="15" w15:restartNumberingAfterBreak="0">
    <w:nsid w:val="72173412"/>
    <w:multiLevelType w:val="hybridMultilevel"/>
    <w:tmpl w:val="ABB0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F46F9"/>
    <w:multiLevelType w:val="multilevel"/>
    <w:tmpl w:val="BEB0F7EA"/>
    <w:lvl w:ilvl="0">
      <w:start w:val="26"/>
      <w:numFmt w:val="decimal"/>
      <w:lvlText w:val="%1"/>
      <w:lvlJc w:val="left"/>
      <w:pPr>
        <w:ind w:left="600" w:hanging="600"/>
      </w:pPr>
      <w:rPr>
        <w:rFonts w:ascii="Arial" w:eastAsia="Arial" w:hAnsi="Arial" w:cs="Arial" w:hint="default"/>
      </w:rPr>
    </w:lvl>
    <w:lvl w:ilvl="1">
      <w:start w:val="4"/>
      <w:numFmt w:val="decimal"/>
      <w:lvlText w:val="%1.%2"/>
      <w:lvlJc w:val="left"/>
      <w:pPr>
        <w:ind w:left="600" w:hanging="600"/>
      </w:pPr>
      <w:rPr>
        <w:rFonts w:ascii="Arial" w:eastAsia="Arial" w:hAnsi="Arial" w:cs="Arial" w:hint="default"/>
      </w:rPr>
    </w:lvl>
    <w:lvl w:ilvl="2">
      <w:start w:val="1"/>
      <w:numFmt w:val="decimal"/>
      <w:lvlText w:val="%1.%2.%3"/>
      <w:lvlJc w:val="left"/>
      <w:pPr>
        <w:ind w:left="1572"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num w:numId="1">
    <w:abstractNumId w:val="6"/>
  </w:num>
  <w:num w:numId="2">
    <w:abstractNumId w:val="10"/>
  </w:num>
  <w:num w:numId="3">
    <w:abstractNumId w:val="13"/>
  </w:num>
  <w:num w:numId="4">
    <w:abstractNumId w:val="14"/>
  </w:num>
  <w:num w:numId="5">
    <w:abstractNumId w:val="2"/>
  </w:num>
  <w:num w:numId="6">
    <w:abstractNumId w:val="9"/>
  </w:num>
  <w:num w:numId="7">
    <w:abstractNumId w:val="7"/>
  </w:num>
  <w:num w:numId="8">
    <w:abstractNumId w:val="15"/>
  </w:num>
  <w:num w:numId="9">
    <w:abstractNumId w:val="0"/>
  </w:num>
  <w:num w:numId="10">
    <w:abstractNumId w:val="12"/>
  </w:num>
  <w:num w:numId="11">
    <w:abstractNumId w:val="1"/>
  </w:num>
  <w:num w:numId="12">
    <w:abstractNumId w:val="5"/>
  </w:num>
  <w:num w:numId="13">
    <w:abstractNumId w:val="8"/>
  </w:num>
  <w:num w:numId="14">
    <w:abstractNumId w:val="16"/>
  </w:num>
  <w:num w:numId="15">
    <w:abstractNumId w:val="11"/>
  </w:num>
  <w:num w:numId="16">
    <w:abstractNumId w:val="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393"/>
    <w:rsid w:val="0000209B"/>
    <w:rsid w:val="0000277F"/>
    <w:rsid w:val="000072B6"/>
    <w:rsid w:val="00007C27"/>
    <w:rsid w:val="0001176C"/>
    <w:rsid w:val="00011882"/>
    <w:rsid w:val="000119BE"/>
    <w:rsid w:val="000120C6"/>
    <w:rsid w:val="00012F39"/>
    <w:rsid w:val="00013360"/>
    <w:rsid w:val="000136FB"/>
    <w:rsid w:val="00016A92"/>
    <w:rsid w:val="0001744E"/>
    <w:rsid w:val="00023679"/>
    <w:rsid w:val="0002413D"/>
    <w:rsid w:val="00025F57"/>
    <w:rsid w:val="000261B9"/>
    <w:rsid w:val="00030622"/>
    <w:rsid w:val="000319BC"/>
    <w:rsid w:val="00031D0C"/>
    <w:rsid w:val="00034D40"/>
    <w:rsid w:val="00035E9F"/>
    <w:rsid w:val="000365F6"/>
    <w:rsid w:val="000409FF"/>
    <w:rsid w:val="0004119C"/>
    <w:rsid w:val="000418F1"/>
    <w:rsid w:val="00042048"/>
    <w:rsid w:val="00042C0F"/>
    <w:rsid w:val="00045C51"/>
    <w:rsid w:val="00052A57"/>
    <w:rsid w:val="000530AD"/>
    <w:rsid w:val="00054297"/>
    <w:rsid w:val="00054EE5"/>
    <w:rsid w:val="00055054"/>
    <w:rsid w:val="00056BC3"/>
    <w:rsid w:val="00057C71"/>
    <w:rsid w:val="00057D34"/>
    <w:rsid w:val="0007074E"/>
    <w:rsid w:val="000707B0"/>
    <w:rsid w:val="000708A3"/>
    <w:rsid w:val="00074535"/>
    <w:rsid w:val="0007737A"/>
    <w:rsid w:val="00081884"/>
    <w:rsid w:val="00084297"/>
    <w:rsid w:val="00086696"/>
    <w:rsid w:val="0009037A"/>
    <w:rsid w:val="000927B3"/>
    <w:rsid w:val="00094EAD"/>
    <w:rsid w:val="0009616B"/>
    <w:rsid w:val="0009645D"/>
    <w:rsid w:val="000A20C0"/>
    <w:rsid w:val="000A240A"/>
    <w:rsid w:val="000A3DF1"/>
    <w:rsid w:val="000A617C"/>
    <w:rsid w:val="000A6AA4"/>
    <w:rsid w:val="000B06C0"/>
    <w:rsid w:val="000B1512"/>
    <w:rsid w:val="000B3116"/>
    <w:rsid w:val="000B582F"/>
    <w:rsid w:val="000C228E"/>
    <w:rsid w:val="000C564E"/>
    <w:rsid w:val="000C56EC"/>
    <w:rsid w:val="000C607C"/>
    <w:rsid w:val="000D0C6C"/>
    <w:rsid w:val="000D334D"/>
    <w:rsid w:val="000D4362"/>
    <w:rsid w:val="000D603D"/>
    <w:rsid w:val="000D73BB"/>
    <w:rsid w:val="000D7B84"/>
    <w:rsid w:val="000E3B98"/>
    <w:rsid w:val="000E3E2C"/>
    <w:rsid w:val="000E46B3"/>
    <w:rsid w:val="000E5AD5"/>
    <w:rsid w:val="000E7590"/>
    <w:rsid w:val="000F0011"/>
    <w:rsid w:val="000F2836"/>
    <w:rsid w:val="000F4990"/>
    <w:rsid w:val="001009DF"/>
    <w:rsid w:val="00100E84"/>
    <w:rsid w:val="0010332D"/>
    <w:rsid w:val="00103622"/>
    <w:rsid w:val="00107793"/>
    <w:rsid w:val="00107887"/>
    <w:rsid w:val="00111D55"/>
    <w:rsid w:val="001146F0"/>
    <w:rsid w:val="0011596A"/>
    <w:rsid w:val="00117A45"/>
    <w:rsid w:val="00120822"/>
    <w:rsid w:val="00123E57"/>
    <w:rsid w:val="00123F76"/>
    <w:rsid w:val="00130446"/>
    <w:rsid w:val="001304C2"/>
    <w:rsid w:val="00131A69"/>
    <w:rsid w:val="00135924"/>
    <w:rsid w:val="00135AFE"/>
    <w:rsid w:val="001429C7"/>
    <w:rsid w:val="001466CF"/>
    <w:rsid w:val="0014790A"/>
    <w:rsid w:val="00150D6B"/>
    <w:rsid w:val="0015399E"/>
    <w:rsid w:val="001576D5"/>
    <w:rsid w:val="00165A19"/>
    <w:rsid w:val="00165ABE"/>
    <w:rsid w:val="00166886"/>
    <w:rsid w:val="0016792D"/>
    <w:rsid w:val="00171C44"/>
    <w:rsid w:val="001779F1"/>
    <w:rsid w:val="00182CEC"/>
    <w:rsid w:val="001833AC"/>
    <w:rsid w:val="00183992"/>
    <w:rsid w:val="00186E34"/>
    <w:rsid w:val="00187D9A"/>
    <w:rsid w:val="001916FF"/>
    <w:rsid w:val="00191B5E"/>
    <w:rsid w:val="0019342B"/>
    <w:rsid w:val="00196EBE"/>
    <w:rsid w:val="0019781E"/>
    <w:rsid w:val="001A5270"/>
    <w:rsid w:val="001A6E2A"/>
    <w:rsid w:val="001B006E"/>
    <w:rsid w:val="001B36CE"/>
    <w:rsid w:val="001B3E67"/>
    <w:rsid w:val="001B52F9"/>
    <w:rsid w:val="001B770C"/>
    <w:rsid w:val="001B7A83"/>
    <w:rsid w:val="001C2C5D"/>
    <w:rsid w:val="001C3CD9"/>
    <w:rsid w:val="001C6518"/>
    <w:rsid w:val="001C79DF"/>
    <w:rsid w:val="001D07F4"/>
    <w:rsid w:val="001D4410"/>
    <w:rsid w:val="001D468C"/>
    <w:rsid w:val="001D72A4"/>
    <w:rsid w:val="001E6EB0"/>
    <w:rsid w:val="001F2464"/>
    <w:rsid w:val="001F3EEE"/>
    <w:rsid w:val="001F53DC"/>
    <w:rsid w:val="001F5DBC"/>
    <w:rsid w:val="001F6934"/>
    <w:rsid w:val="001F6AAE"/>
    <w:rsid w:val="002022B0"/>
    <w:rsid w:val="00203060"/>
    <w:rsid w:val="002031AE"/>
    <w:rsid w:val="00203459"/>
    <w:rsid w:val="00204242"/>
    <w:rsid w:val="00204BD9"/>
    <w:rsid w:val="00212055"/>
    <w:rsid w:val="0021291E"/>
    <w:rsid w:val="002135BD"/>
    <w:rsid w:val="00213D36"/>
    <w:rsid w:val="0021525A"/>
    <w:rsid w:val="00215368"/>
    <w:rsid w:val="00222897"/>
    <w:rsid w:val="002232A6"/>
    <w:rsid w:val="0022350D"/>
    <w:rsid w:val="00224435"/>
    <w:rsid w:val="00227046"/>
    <w:rsid w:val="00230B4E"/>
    <w:rsid w:val="00231E9C"/>
    <w:rsid w:val="002322E7"/>
    <w:rsid w:val="0023249B"/>
    <w:rsid w:val="00236618"/>
    <w:rsid w:val="0023781F"/>
    <w:rsid w:val="00237DF4"/>
    <w:rsid w:val="002410D8"/>
    <w:rsid w:val="0024482C"/>
    <w:rsid w:val="00251F57"/>
    <w:rsid w:val="00253FD7"/>
    <w:rsid w:val="00254561"/>
    <w:rsid w:val="0025515E"/>
    <w:rsid w:val="002564CF"/>
    <w:rsid w:val="0025763A"/>
    <w:rsid w:val="00257756"/>
    <w:rsid w:val="0026443A"/>
    <w:rsid w:val="002655F5"/>
    <w:rsid w:val="00267D5B"/>
    <w:rsid w:val="002728AC"/>
    <w:rsid w:val="00273B83"/>
    <w:rsid w:val="00276DF7"/>
    <w:rsid w:val="002775FF"/>
    <w:rsid w:val="002808C1"/>
    <w:rsid w:val="002842AA"/>
    <w:rsid w:val="00284517"/>
    <w:rsid w:val="00287C48"/>
    <w:rsid w:val="002924A5"/>
    <w:rsid w:val="0029534B"/>
    <w:rsid w:val="002975B0"/>
    <w:rsid w:val="002A2F45"/>
    <w:rsid w:val="002A39A6"/>
    <w:rsid w:val="002A5C8C"/>
    <w:rsid w:val="002A6948"/>
    <w:rsid w:val="002A695D"/>
    <w:rsid w:val="002B0BD7"/>
    <w:rsid w:val="002B23C5"/>
    <w:rsid w:val="002B305B"/>
    <w:rsid w:val="002B37D4"/>
    <w:rsid w:val="002B6700"/>
    <w:rsid w:val="002B7ACC"/>
    <w:rsid w:val="002C227F"/>
    <w:rsid w:val="002C3297"/>
    <w:rsid w:val="002C353E"/>
    <w:rsid w:val="002C39C2"/>
    <w:rsid w:val="002C63CE"/>
    <w:rsid w:val="002D1008"/>
    <w:rsid w:val="002D5EBB"/>
    <w:rsid w:val="002E09D9"/>
    <w:rsid w:val="002E0FFC"/>
    <w:rsid w:val="002F7740"/>
    <w:rsid w:val="00301A51"/>
    <w:rsid w:val="00302378"/>
    <w:rsid w:val="00310D6E"/>
    <w:rsid w:val="00314376"/>
    <w:rsid w:val="00315318"/>
    <w:rsid w:val="003161F0"/>
    <w:rsid w:val="00322195"/>
    <w:rsid w:val="003224AE"/>
    <w:rsid w:val="00322580"/>
    <w:rsid w:val="003235A6"/>
    <w:rsid w:val="00324815"/>
    <w:rsid w:val="003278A2"/>
    <w:rsid w:val="00327A6E"/>
    <w:rsid w:val="00330E69"/>
    <w:rsid w:val="00331BF1"/>
    <w:rsid w:val="00331E94"/>
    <w:rsid w:val="00331FD0"/>
    <w:rsid w:val="00336490"/>
    <w:rsid w:val="0034277C"/>
    <w:rsid w:val="00343CB2"/>
    <w:rsid w:val="00345D57"/>
    <w:rsid w:val="0034671C"/>
    <w:rsid w:val="00352083"/>
    <w:rsid w:val="00352ED8"/>
    <w:rsid w:val="003551A3"/>
    <w:rsid w:val="0036311E"/>
    <w:rsid w:val="0036794B"/>
    <w:rsid w:val="00367CF6"/>
    <w:rsid w:val="0037029A"/>
    <w:rsid w:val="0037163C"/>
    <w:rsid w:val="00372FE0"/>
    <w:rsid w:val="00373C39"/>
    <w:rsid w:val="00374C42"/>
    <w:rsid w:val="003756ED"/>
    <w:rsid w:val="003810D2"/>
    <w:rsid w:val="00381182"/>
    <w:rsid w:val="00381C26"/>
    <w:rsid w:val="00383E1E"/>
    <w:rsid w:val="00383FD4"/>
    <w:rsid w:val="00390B75"/>
    <w:rsid w:val="00390D09"/>
    <w:rsid w:val="00391230"/>
    <w:rsid w:val="00392264"/>
    <w:rsid w:val="003922A1"/>
    <w:rsid w:val="003926D3"/>
    <w:rsid w:val="003942B2"/>
    <w:rsid w:val="003958B3"/>
    <w:rsid w:val="003A09BA"/>
    <w:rsid w:val="003A2F18"/>
    <w:rsid w:val="003A4408"/>
    <w:rsid w:val="003A63BA"/>
    <w:rsid w:val="003A7E64"/>
    <w:rsid w:val="003B1834"/>
    <w:rsid w:val="003B1A06"/>
    <w:rsid w:val="003B349B"/>
    <w:rsid w:val="003C348E"/>
    <w:rsid w:val="003C44AF"/>
    <w:rsid w:val="003C6A00"/>
    <w:rsid w:val="003D094D"/>
    <w:rsid w:val="003D172D"/>
    <w:rsid w:val="003E3167"/>
    <w:rsid w:val="003E33B4"/>
    <w:rsid w:val="003E363A"/>
    <w:rsid w:val="003E4AED"/>
    <w:rsid w:val="003E6836"/>
    <w:rsid w:val="003F086E"/>
    <w:rsid w:val="003F101C"/>
    <w:rsid w:val="003F22CB"/>
    <w:rsid w:val="003F2DD4"/>
    <w:rsid w:val="003F42B8"/>
    <w:rsid w:val="004078B7"/>
    <w:rsid w:val="00411924"/>
    <w:rsid w:val="00417AD7"/>
    <w:rsid w:val="00417AEE"/>
    <w:rsid w:val="00417C59"/>
    <w:rsid w:val="00420F38"/>
    <w:rsid w:val="00421D5F"/>
    <w:rsid w:val="004234F7"/>
    <w:rsid w:val="004246F2"/>
    <w:rsid w:val="00425109"/>
    <w:rsid w:val="00425879"/>
    <w:rsid w:val="0043088B"/>
    <w:rsid w:val="00435BF7"/>
    <w:rsid w:val="00436E15"/>
    <w:rsid w:val="00437081"/>
    <w:rsid w:val="00437AA4"/>
    <w:rsid w:val="00440A5B"/>
    <w:rsid w:val="00440D6F"/>
    <w:rsid w:val="0044190B"/>
    <w:rsid w:val="00445CA6"/>
    <w:rsid w:val="00450614"/>
    <w:rsid w:val="00450D35"/>
    <w:rsid w:val="00461536"/>
    <w:rsid w:val="0046678F"/>
    <w:rsid w:val="00466C11"/>
    <w:rsid w:val="00467D1C"/>
    <w:rsid w:val="00470C3D"/>
    <w:rsid w:val="004711D4"/>
    <w:rsid w:val="004725E2"/>
    <w:rsid w:val="00474123"/>
    <w:rsid w:val="00475B6B"/>
    <w:rsid w:val="00482E15"/>
    <w:rsid w:val="00483E0D"/>
    <w:rsid w:val="00485814"/>
    <w:rsid w:val="00485FF3"/>
    <w:rsid w:val="00494488"/>
    <w:rsid w:val="0049467E"/>
    <w:rsid w:val="00496FAC"/>
    <w:rsid w:val="004A4ED6"/>
    <w:rsid w:val="004A554A"/>
    <w:rsid w:val="004A623D"/>
    <w:rsid w:val="004A739C"/>
    <w:rsid w:val="004B1B06"/>
    <w:rsid w:val="004B2795"/>
    <w:rsid w:val="004B28BD"/>
    <w:rsid w:val="004B4DF2"/>
    <w:rsid w:val="004B53AB"/>
    <w:rsid w:val="004B58D1"/>
    <w:rsid w:val="004C00F4"/>
    <w:rsid w:val="004C06C5"/>
    <w:rsid w:val="004C2949"/>
    <w:rsid w:val="004C3682"/>
    <w:rsid w:val="004C3B47"/>
    <w:rsid w:val="004D39B5"/>
    <w:rsid w:val="004D4C57"/>
    <w:rsid w:val="004D4CCC"/>
    <w:rsid w:val="004D597F"/>
    <w:rsid w:val="004D71DD"/>
    <w:rsid w:val="004E1D77"/>
    <w:rsid w:val="004E5658"/>
    <w:rsid w:val="004E5FFF"/>
    <w:rsid w:val="004E7C78"/>
    <w:rsid w:val="004F3131"/>
    <w:rsid w:val="004F3D58"/>
    <w:rsid w:val="004F7544"/>
    <w:rsid w:val="00501B30"/>
    <w:rsid w:val="0050768A"/>
    <w:rsid w:val="00507ACE"/>
    <w:rsid w:val="00510A21"/>
    <w:rsid w:val="00510F72"/>
    <w:rsid w:val="00512EA7"/>
    <w:rsid w:val="00513404"/>
    <w:rsid w:val="00514EF3"/>
    <w:rsid w:val="00522066"/>
    <w:rsid w:val="005227D5"/>
    <w:rsid w:val="00525419"/>
    <w:rsid w:val="00530FE9"/>
    <w:rsid w:val="00532BB3"/>
    <w:rsid w:val="00534469"/>
    <w:rsid w:val="0053568D"/>
    <w:rsid w:val="005376DB"/>
    <w:rsid w:val="005376E4"/>
    <w:rsid w:val="00537877"/>
    <w:rsid w:val="00537ED6"/>
    <w:rsid w:val="005424E7"/>
    <w:rsid w:val="00543923"/>
    <w:rsid w:val="005446E2"/>
    <w:rsid w:val="005451B3"/>
    <w:rsid w:val="00546BFC"/>
    <w:rsid w:val="00550ACA"/>
    <w:rsid w:val="00552772"/>
    <w:rsid w:val="005575E5"/>
    <w:rsid w:val="00561C42"/>
    <w:rsid w:val="00563CC5"/>
    <w:rsid w:val="00563DBD"/>
    <w:rsid w:val="0056496D"/>
    <w:rsid w:val="00564B54"/>
    <w:rsid w:val="00572ACC"/>
    <w:rsid w:val="00572EB6"/>
    <w:rsid w:val="005748E9"/>
    <w:rsid w:val="00576B6C"/>
    <w:rsid w:val="00583726"/>
    <w:rsid w:val="005837B5"/>
    <w:rsid w:val="00587095"/>
    <w:rsid w:val="0058742E"/>
    <w:rsid w:val="00592638"/>
    <w:rsid w:val="0059647B"/>
    <w:rsid w:val="005975D6"/>
    <w:rsid w:val="005978A2"/>
    <w:rsid w:val="00597CB0"/>
    <w:rsid w:val="005A3A96"/>
    <w:rsid w:val="005A3B1C"/>
    <w:rsid w:val="005A56CC"/>
    <w:rsid w:val="005A6801"/>
    <w:rsid w:val="005B6799"/>
    <w:rsid w:val="005C1787"/>
    <w:rsid w:val="005C34AE"/>
    <w:rsid w:val="005D05F6"/>
    <w:rsid w:val="005D255A"/>
    <w:rsid w:val="005D2B46"/>
    <w:rsid w:val="005D2F5C"/>
    <w:rsid w:val="005D7191"/>
    <w:rsid w:val="005E6A73"/>
    <w:rsid w:val="005F69F6"/>
    <w:rsid w:val="005F7515"/>
    <w:rsid w:val="00602033"/>
    <w:rsid w:val="0060653B"/>
    <w:rsid w:val="006070E3"/>
    <w:rsid w:val="00607EC5"/>
    <w:rsid w:val="00610DD5"/>
    <w:rsid w:val="0061139A"/>
    <w:rsid w:val="0061257D"/>
    <w:rsid w:val="006142D9"/>
    <w:rsid w:val="0061796E"/>
    <w:rsid w:val="00617BA0"/>
    <w:rsid w:val="0062179A"/>
    <w:rsid w:val="0062362E"/>
    <w:rsid w:val="00631909"/>
    <w:rsid w:val="00631C25"/>
    <w:rsid w:val="00633DEA"/>
    <w:rsid w:val="00634017"/>
    <w:rsid w:val="00634F40"/>
    <w:rsid w:val="006407F1"/>
    <w:rsid w:val="0064347B"/>
    <w:rsid w:val="00644EE9"/>
    <w:rsid w:val="00645C55"/>
    <w:rsid w:val="006460F0"/>
    <w:rsid w:val="00646DEE"/>
    <w:rsid w:val="00653E45"/>
    <w:rsid w:val="00654372"/>
    <w:rsid w:val="00654D6B"/>
    <w:rsid w:val="0065565B"/>
    <w:rsid w:val="00656479"/>
    <w:rsid w:val="00662212"/>
    <w:rsid w:val="00670828"/>
    <w:rsid w:val="00680A8A"/>
    <w:rsid w:val="00682BA9"/>
    <w:rsid w:val="0068362D"/>
    <w:rsid w:val="00685713"/>
    <w:rsid w:val="006956A6"/>
    <w:rsid w:val="00695A86"/>
    <w:rsid w:val="00696F69"/>
    <w:rsid w:val="0069789A"/>
    <w:rsid w:val="006A0FF5"/>
    <w:rsid w:val="006A4470"/>
    <w:rsid w:val="006A4B7C"/>
    <w:rsid w:val="006A6030"/>
    <w:rsid w:val="006A61C5"/>
    <w:rsid w:val="006B0893"/>
    <w:rsid w:val="006B0FE0"/>
    <w:rsid w:val="006B3ADF"/>
    <w:rsid w:val="006B42BC"/>
    <w:rsid w:val="006B4EBC"/>
    <w:rsid w:val="006B5783"/>
    <w:rsid w:val="006C09E3"/>
    <w:rsid w:val="006C4FEA"/>
    <w:rsid w:val="006C639C"/>
    <w:rsid w:val="006C7A42"/>
    <w:rsid w:val="006D3A7A"/>
    <w:rsid w:val="006D54B1"/>
    <w:rsid w:val="006D5594"/>
    <w:rsid w:val="006D7E60"/>
    <w:rsid w:val="006E0EB0"/>
    <w:rsid w:val="006E32DD"/>
    <w:rsid w:val="006E399B"/>
    <w:rsid w:val="006E3F9E"/>
    <w:rsid w:val="006E4BF2"/>
    <w:rsid w:val="006E5E0D"/>
    <w:rsid w:val="006E5E57"/>
    <w:rsid w:val="006F05B5"/>
    <w:rsid w:val="006F0D75"/>
    <w:rsid w:val="006F15C8"/>
    <w:rsid w:val="006F4585"/>
    <w:rsid w:val="006F45B8"/>
    <w:rsid w:val="00707772"/>
    <w:rsid w:val="00710678"/>
    <w:rsid w:val="00712C86"/>
    <w:rsid w:val="00712DEB"/>
    <w:rsid w:val="0071329D"/>
    <w:rsid w:val="0071507A"/>
    <w:rsid w:val="0072131D"/>
    <w:rsid w:val="00721F95"/>
    <w:rsid w:val="00722EA3"/>
    <w:rsid w:val="007245B9"/>
    <w:rsid w:val="0072581A"/>
    <w:rsid w:val="0072716C"/>
    <w:rsid w:val="00732C09"/>
    <w:rsid w:val="007405C4"/>
    <w:rsid w:val="0074109C"/>
    <w:rsid w:val="00752CD8"/>
    <w:rsid w:val="007541C4"/>
    <w:rsid w:val="007561AC"/>
    <w:rsid w:val="0076005A"/>
    <w:rsid w:val="0076116E"/>
    <w:rsid w:val="007622BA"/>
    <w:rsid w:val="007628BA"/>
    <w:rsid w:val="00762B4B"/>
    <w:rsid w:val="00765140"/>
    <w:rsid w:val="00766EFA"/>
    <w:rsid w:val="0077614E"/>
    <w:rsid w:val="00776E6C"/>
    <w:rsid w:val="00781B45"/>
    <w:rsid w:val="00782166"/>
    <w:rsid w:val="00792DAD"/>
    <w:rsid w:val="00792F42"/>
    <w:rsid w:val="00793361"/>
    <w:rsid w:val="00793740"/>
    <w:rsid w:val="007938DA"/>
    <w:rsid w:val="00793C23"/>
    <w:rsid w:val="00794643"/>
    <w:rsid w:val="007950EA"/>
    <w:rsid w:val="007A07CE"/>
    <w:rsid w:val="007A1119"/>
    <w:rsid w:val="007A2B0A"/>
    <w:rsid w:val="007A483A"/>
    <w:rsid w:val="007B2A46"/>
    <w:rsid w:val="007B734F"/>
    <w:rsid w:val="007C1F89"/>
    <w:rsid w:val="007C6228"/>
    <w:rsid w:val="007C67DD"/>
    <w:rsid w:val="007C77F0"/>
    <w:rsid w:val="007D19B3"/>
    <w:rsid w:val="007D7128"/>
    <w:rsid w:val="007E0F20"/>
    <w:rsid w:val="007E15C9"/>
    <w:rsid w:val="007E1642"/>
    <w:rsid w:val="007E1869"/>
    <w:rsid w:val="007E269A"/>
    <w:rsid w:val="007E28D8"/>
    <w:rsid w:val="007E3A93"/>
    <w:rsid w:val="007E672E"/>
    <w:rsid w:val="007F220B"/>
    <w:rsid w:val="007F2D69"/>
    <w:rsid w:val="007F48EF"/>
    <w:rsid w:val="007F7977"/>
    <w:rsid w:val="00800C26"/>
    <w:rsid w:val="00802DA7"/>
    <w:rsid w:val="008031D0"/>
    <w:rsid w:val="00804888"/>
    <w:rsid w:val="00804B18"/>
    <w:rsid w:val="0080661C"/>
    <w:rsid w:val="00806F02"/>
    <w:rsid w:val="00811E56"/>
    <w:rsid w:val="00812CB0"/>
    <w:rsid w:val="00816156"/>
    <w:rsid w:val="0082204D"/>
    <w:rsid w:val="008224D2"/>
    <w:rsid w:val="0082321F"/>
    <w:rsid w:val="0082522E"/>
    <w:rsid w:val="0082571A"/>
    <w:rsid w:val="00830AF6"/>
    <w:rsid w:val="00831279"/>
    <w:rsid w:val="00833495"/>
    <w:rsid w:val="00833A30"/>
    <w:rsid w:val="00836265"/>
    <w:rsid w:val="00836B3B"/>
    <w:rsid w:val="00841E6B"/>
    <w:rsid w:val="00842777"/>
    <w:rsid w:val="008445B0"/>
    <w:rsid w:val="00844907"/>
    <w:rsid w:val="00844F64"/>
    <w:rsid w:val="00845310"/>
    <w:rsid w:val="0085245D"/>
    <w:rsid w:val="008524C4"/>
    <w:rsid w:val="00852F67"/>
    <w:rsid w:val="008543AC"/>
    <w:rsid w:val="00855728"/>
    <w:rsid w:val="0085632B"/>
    <w:rsid w:val="0086121A"/>
    <w:rsid w:val="00861923"/>
    <w:rsid w:val="00862CA7"/>
    <w:rsid w:val="008641FC"/>
    <w:rsid w:val="00866836"/>
    <w:rsid w:val="00872F14"/>
    <w:rsid w:val="0087359C"/>
    <w:rsid w:val="0087604E"/>
    <w:rsid w:val="0088308F"/>
    <w:rsid w:val="008832C0"/>
    <w:rsid w:val="00884B57"/>
    <w:rsid w:val="008852F7"/>
    <w:rsid w:val="00886CAB"/>
    <w:rsid w:val="00887BC0"/>
    <w:rsid w:val="00891AE9"/>
    <w:rsid w:val="00895096"/>
    <w:rsid w:val="00895807"/>
    <w:rsid w:val="008A30CC"/>
    <w:rsid w:val="008A69FD"/>
    <w:rsid w:val="008B4F86"/>
    <w:rsid w:val="008B6A30"/>
    <w:rsid w:val="008C0274"/>
    <w:rsid w:val="008C0735"/>
    <w:rsid w:val="008C3E20"/>
    <w:rsid w:val="008C6542"/>
    <w:rsid w:val="008D1DB5"/>
    <w:rsid w:val="008D1F43"/>
    <w:rsid w:val="008D5778"/>
    <w:rsid w:val="008D66AF"/>
    <w:rsid w:val="008E3049"/>
    <w:rsid w:val="008E3165"/>
    <w:rsid w:val="008E612C"/>
    <w:rsid w:val="008E645B"/>
    <w:rsid w:val="008F6094"/>
    <w:rsid w:val="008F69DC"/>
    <w:rsid w:val="009006A8"/>
    <w:rsid w:val="00904118"/>
    <w:rsid w:val="00907010"/>
    <w:rsid w:val="00907693"/>
    <w:rsid w:val="00907E66"/>
    <w:rsid w:val="00910B1F"/>
    <w:rsid w:val="00912BAA"/>
    <w:rsid w:val="00914EE8"/>
    <w:rsid w:val="00915238"/>
    <w:rsid w:val="009236AC"/>
    <w:rsid w:val="0092645D"/>
    <w:rsid w:val="00926D9A"/>
    <w:rsid w:val="00931734"/>
    <w:rsid w:val="0093362D"/>
    <w:rsid w:val="0093760E"/>
    <w:rsid w:val="00942287"/>
    <w:rsid w:val="00943992"/>
    <w:rsid w:val="00950912"/>
    <w:rsid w:val="00953256"/>
    <w:rsid w:val="00954901"/>
    <w:rsid w:val="009558EC"/>
    <w:rsid w:val="00957190"/>
    <w:rsid w:val="00960D29"/>
    <w:rsid w:val="0096586B"/>
    <w:rsid w:val="00971322"/>
    <w:rsid w:val="009739E4"/>
    <w:rsid w:val="009759D1"/>
    <w:rsid w:val="00976A12"/>
    <w:rsid w:val="00976C39"/>
    <w:rsid w:val="009816F7"/>
    <w:rsid w:val="00981E10"/>
    <w:rsid w:val="00986707"/>
    <w:rsid w:val="00986CCF"/>
    <w:rsid w:val="009873F5"/>
    <w:rsid w:val="00987B3F"/>
    <w:rsid w:val="009924B8"/>
    <w:rsid w:val="00992EAF"/>
    <w:rsid w:val="00993448"/>
    <w:rsid w:val="00993690"/>
    <w:rsid w:val="009A1158"/>
    <w:rsid w:val="009A1D2C"/>
    <w:rsid w:val="009A3256"/>
    <w:rsid w:val="009B0E14"/>
    <w:rsid w:val="009B26D4"/>
    <w:rsid w:val="009B6F95"/>
    <w:rsid w:val="009C164F"/>
    <w:rsid w:val="009C24C6"/>
    <w:rsid w:val="009C3B92"/>
    <w:rsid w:val="009D2BB0"/>
    <w:rsid w:val="009D4B59"/>
    <w:rsid w:val="009E0EAD"/>
    <w:rsid w:val="009E1386"/>
    <w:rsid w:val="009E5207"/>
    <w:rsid w:val="009E6688"/>
    <w:rsid w:val="009E7627"/>
    <w:rsid w:val="009F19E1"/>
    <w:rsid w:val="009F2011"/>
    <w:rsid w:val="009F26D4"/>
    <w:rsid w:val="00A0074A"/>
    <w:rsid w:val="00A03F51"/>
    <w:rsid w:val="00A04336"/>
    <w:rsid w:val="00A06969"/>
    <w:rsid w:val="00A07DC5"/>
    <w:rsid w:val="00A1250A"/>
    <w:rsid w:val="00A12F6E"/>
    <w:rsid w:val="00A13C93"/>
    <w:rsid w:val="00A13F48"/>
    <w:rsid w:val="00A14154"/>
    <w:rsid w:val="00A14397"/>
    <w:rsid w:val="00A15A20"/>
    <w:rsid w:val="00A17D62"/>
    <w:rsid w:val="00A21A9C"/>
    <w:rsid w:val="00A22AF0"/>
    <w:rsid w:val="00A23AAD"/>
    <w:rsid w:val="00A240D8"/>
    <w:rsid w:val="00A25976"/>
    <w:rsid w:val="00A26167"/>
    <w:rsid w:val="00A30D1B"/>
    <w:rsid w:val="00A324D3"/>
    <w:rsid w:val="00A335CB"/>
    <w:rsid w:val="00A33C70"/>
    <w:rsid w:val="00A34228"/>
    <w:rsid w:val="00A344C7"/>
    <w:rsid w:val="00A40479"/>
    <w:rsid w:val="00A421EA"/>
    <w:rsid w:val="00A42938"/>
    <w:rsid w:val="00A4667F"/>
    <w:rsid w:val="00A47F3F"/>
    <w:rsid w:val="00A52242"/>
    <w:rsid w:val="00A5293E"/>
    <w:rsid w:val="00A54397"/>
    <w:rsid w:val="00A545FD"/>
    <w:rsid w:val="00A5648C"/>
    <w:rsid w:val="00A57509"/>
    <w:rsid w:val="00A622DB"/>
    <w:rsid w:val="00A623B5"/>
    <w:rsid w:val="00A63758"/>
    <w:rsid w:val="00A66A5C"/>
    <w:rsid w:val="00A72C23"/>
    <w:rsid w:val="00A75246"/>
    <w:rsid w:val="00A759A3"/>
    <w:rsid w:val="00A75C01"/>
    <w:rsid w:val="00A75D64"/>
    <w:rsid w:val="00A76B83"/>
    <w:rsid w:val="00A80149"/>
    <w:rsid w:val="00A82169"/>
    <w:rsid w:val="00A82769"/>
    <w:rsid w:val="00A840CC"/>
    <w:rsid w:val="00A84A2A"/>
    <w:rsid w:val="00A8558E"/>
    <w:rsid w:val="00A865F1"/>
    <w:rsid w:val="00A87861"/>
    <w:rsid w:val="00A87CFB"/>
    <w:rsid w:val="00A90671"/>
    <w:rsid w:val="00A9127E"/>
    <w:rsid w:val="00A9563F"/>
    <w:rsid w:val="00A97182"/>
    <w:rsid w:val="00A97C78"/>
    <w:rsid w:val="00AA13F2"/>
    <w:rsid w:val="00AA1618"/>
    <w:rsid w:val="00AA164C"/>
    <w:rsid w:val="00AA4BA2"/>
    <w:rsid w:val="00AB0894"/>
    <w:rsid w:val="00AB2456"/>
    <w:rsid w:val="00AB57EC"/>
    <w:rsid w:val="00AB7AC8"/>
    <w:rsid w:val="00AC1C40"/>
    <w:rsid w:val="00AC67B2"/>
    <w:rsid w:val="00AC7F0B"/>
    <w:rsid w:val="00AD3A69"/>
    <w:rsid w:val="00AD477E"/>
    <w:rsid w:val="00AD60A5"/>
    <w:rsid w:val="00AD6B82"/>
    <w:rsid w:val="00AD7258"/>
    <w:rsid w:val="00AE3BC2"/>
    <w:rsid w:val="00AE4572"/>
    <w:rsid w:val="00AF0456"/>
    <w:rsid w:val="00AF0F33"/>
    <w:rsid w:val="00AF117E"/>
    <w:rsid w:val="00AF121A"/>
    <w:rsid w:val="00AF2FE4"/>
    <w:rsid w:val="00AF45CD"/>
    <w:rsid w:val="00AF4A56"/>
    <w:rsid w:val="00AF5925"/>
    <w:rsid w:val="00AF7E77"/>
    <w:rsid w:val="00B02F68"/>
    <w:rsid w:val="00B03B63"/>
    <w:rsid w:val="00B05182"/>
    <w:rsid w:val="00B11635"/>
    <w:rsid w:val="00B13AB3"/>
    <w:rsid w:val="00B177FD"/>
    <w:rsid w:val="00B2057E"/>
    <w:rsid w:val="00B21143"/>
    <w:rsid w:val="00B21E2A"/>
    <w:rsid w:val="00B25887"/>
    <w:rsid w:val="00B25CC3"/>
    <w:rsid w:val="00B26908"/>
    <w:rsid w:val="00B30789"/>
    <w:rsid w:val="00B30D53"/>
    <w:rsid w:val="00B3260F"/>
    <w:rsid w:val="00B36F34"/>
    <w:rsid w:val="00B37A27"/>
    <w:rsid w:val="00B408CF"/>
    <w:rsid w:val="00B42480"/>
    <w:rsid w:val="00B441F0"/>
    <w:rsid w:val="00B457F2"/>
    <w:rsid w:val="00B47E90"/>
    <w:rsid w:val="00B5027C"/>
    <w:rsid w:val="00B512D7"/>
    <w:rsid w:val="00B5171A"/>
    <w:rsid w:val="00B528FA"/>
    <w:rsid w:val="00B538A8"/>
    <w:rsid w:val="00B56CC0"/>
    <w:rsid w:val="00B56FD7"/>
    <w:rsid w:val="00B61674"/>
    <w:rsid w:val="00B6514E"/>
    <w:rsid w:val="00B65322"/>
    <w:rsid w:val="00B700FE"/>
    <w:rsid w:val="00B74A2C"/>
    <w:rsid w:val="00B75A87"/>
    <w:rsid w:val="00B77515"/>
    <w:rsid w:val="00B81B88"/>
    <w:rsid w:val="00B829C2"/>
    <w:rsid w:val="00B8650B"/>
    <w:rsid w:val="00B87593"/>
    <w:rsid w:val="00B876FB"/>
    <w:rsid w:val="00B90026"/>
    <w:rsid w:val="00B9097B"/>
    <w:rsid w:val="00B92D25"/>
    <w:rsid w:val="00B95A41"/>
    <w:rsid w:val="00BA0BE2"/>
    <w:rsid w:val="00BA4FC7"/>
    <w:rsid w:val="00BA5A14"/>
    <w:rsid w:val="00BA697D"/>
    <w:rsid w:val="00BA6E46"/>
    <w:rsid w:val="00BB6413"/>
    <w:rsid w:val="00BB762E"/>
    <w:rsid w:val="00BC24B5"/>
    <w:rsid w:val="00BC5503"/>
    <w:rsid w:val="00BC5EF7"/>
    <w:rsid w:val="00BC62BE"/>
    <w:rsid w:val="00BC6C03"/>
    <w:rsid w:val="00BC717F"/>
    <w:rsid w:val="00BC770C"/>
    <w:rsid w:val="00BC7996"/>
    <w:rsid w:val="00BD045A"/>
    <w:rsid w:val="00BD230F"/>
    <w:rsid w:val="00BD441C"/>
    <w:rsid w:val="00BD749C"/>
    <w:rsid w:val="00BE01D3"/>
    <w:rsid w:val="00BE311F"/>
    <w:rsid w:val="00BE38D9"/>
    <w:rsid w:val="00BE44F7"/>
    <w:rsid w:val="00BE4502"/>
    <w:rsid w:val="00BE530A"/>
    <w:rsid w:val="00BE7772"/>
    <w:rsid w:val="00BF3BBF"/>
    <w:rsid w:val="00BF5A8A"/>
    <w:rsid w:val="00C02D56"/>
    <w:rsid w:val="00C06B63"/>
    <w:rsid w:val="00C1168A"/>
    <w:rsid w:val="00C1240E"/>
    <w:rsid w:val="00C1362E"/>
    <w:rsid w:val="00C13AAC"/>
    <w:rsid w:val="00C140EC"/>
    <w:rsid w:val="00C171F6"/>
    <w:rsid w:val="00C20D2A"/>
    <w:rsid w:val="00C213A9"/>
    <w:rsid w:val="00C225F7"/>
    <w:rsid w:val="00C23A6B"/>
    <w:rsid w:val="00C2586B"/>
    <w:rsid w:val="00C268D9"/>
    <w:rsid w:val="00C2729B"/>
    <w:rsid w:val="00C31B40"/>
    <w:rsid w:val="00C32D39"/>
    <w:rsid w:val="00C337B7"/>
    <w:rsid w:val="00C342D9"/>
    <w:rsid w:val="00C4175A"/>
    <w:rsid w:val="00C41CCE"/>
    <w:rsid w:val="00C42FD5"/>
    <w:rsid w:val="00C4396D"/>
    <w:rsid w:val="00C44304"/>
    <w:rsid w:val="00C45691"/>
    <w:rsid w:val="00C45E23"/>
    <w:rsid w:val="00C508B4"/>
    <w:rsid w:val="00C5538A"/>
    <w:rsid w:val="00C571AB"/>
    <w:rsid w:val="00C57B38"/>
    <w:rsid w:val="00C614F2"/>
    <w:rsid w:val="00C61E4E"/>
    <w:rsid w:val="00C65092"/>
    <w:rsid w:val="00C66CAC"/>
    <w:rsid w:val="00C72C98"/>
    <w:rsid w:val="00C73E90"/>
    <w:rsid w:val="00C744A6"/>
    <w:rsid w:val="00C77117"/>
    <w:rsid w:val="00C77B0B"/>
    <w:rsid w:val="00C803F3"/>
    <w:rsid w:val="00C808EC"/>
    <w:rsid w:val="00C82375"/>
    <w:rsid w:val="00C85A58"/>
    <w:rsid w:val="00C85AB9"/>
    <w:rsid w:val="00C8629C"/>
    <w:rsid w:val="00C87585"/>
    <w:rsid w:val="00C903B4"/>
    <w:rsid w:val="00C9080C"/>
    <w:rsid w:val="00C90BA4"/>
    <w:rsid w:val="00C92656"/>
    <w:rsid w:val="00C95310"/>
    <w:rsid w:val="00CA1CBC"/>
    <w:rsid w:val="00CA351C"/>
    <w:rsid w:val="00CA4ECB"/>
    <w:rsid w:val="00CA5040"/>
    <w:rsid w:val="00CB3802"/>
    <w:rsid w:val="00CB6B10"/>
    <w:rsid w:val="00CB6DD0"/>
    <w:rsid w:val="00CC0942"/>
    <w:rsid w:val="00CC34C8"/>
    <w:rsid w:val="00CC4824"/>
    <w:rsid w:val="00CC77B3"/>
    <w:rsid w:val="00CD4866"/>
    <w:rsid w:val="00CE3701"/>
    <w:rsid w:val="00CE6233"/>
    <w:rsid w:val="00CE64F9"/>
    <w:rsid w:val="00CE70B9"/>
    <w:rsid w:val="00CF370C"/>
    <w:rsid w:val="00CF5669"/>
    <w:rsid w:val="00D05BC3"/>
    <w:rsid w:val="00D1124B"/>
    <w:rsid w:val="00D13A8F"/>
    <w:rsid w:val="00D14932"/>
    <w:rsid w:val="00D151E8"/>
    <w:rsid w:val="00D154D8"/>
    <w:rsid w:val="00D15559"/>
    <w:rsid w:val="00D20BDB"/>
    <w:rsid w:val="00D221D0"/>
    <w:rsid w:val="00D24CB0"/>
    <w:rsid w:val="00D30D76"/>
    <w:rsid w:val="00D33C73"/>
    <w:rsid w:val="00D351AE"/>
    <w:rsid w:val="00D35CD6"/>
    <w:rsid w:val="00D36A38"/>
    <w:rsid w:val="00D37A8A"/>
    <w:rsid w:val="00D40C2D"/>
    <w:rsid w:val="00D4134D"/>
    <w:rsid w:val="00D41A91"/>
    <w:rsid w:val="00D43BAA"/>
    <w:rsid w:val="00D45984"/>
    <w:rsid w:val="00D45B4D"/>
    <w:rsid w:val="00D51D44"/>
    <w:rsid w:val="00D51F30"/>
    <w:rsid w:val="00D56FB0"/>
    <w:rsid w:val="00D57292"/>
    <w:rsid w:val="00D57AFA"/>
    <w:rsid w:val="00D60B4C"/>
    <w:rsid w:val="00D653AD"/>
    <w:rsid w:val="00D65F40"/>
    <w:rsid w:val="00D7054E"/>
    <w:rsid w:val="00D72ABF"/>
    <w:rsid w:val="00D72B1E"/>
    <w:rsid w:val="00D73C34"/>
    <w:rsid w:val="00D75FB2"/>
    <w:rsid w:val="00D76E26"/>
    <w:rsid w:val="00D77280"/>
    <w:rsid w:val="00D81E9D"/>
    <w:rsid w:val="00D823A1"/>
    <w:rsid w:val="00D86DE0"/>
    <w:rsid w:val="00D97875"/>
    <w:rsid w:val="00DA2701"/>
    <w:rsid w:val="00DA3284"/>
    <w:rsid w:val="00DA6F29"/>
    <w:rsid w:val="00DA739C"/>
    <w:rsid w:val="00DA7F7A"/>
    <w:rsid w:val="00DB0C69"/>
    <w:rsid w:val="00DB1E9F"/>
    <w:rsid w:val="00DB21A6"/>
    <w:rsid w:val="00DB2A91"/>
    <w:rsid w:val="00DB429E"/>
    <w:rsid w:val="00DB4DE4"/>
    <w:rsid w:val="00DB5E67"/>
    <w:rsid w:val="00DC3139"/>
    <w:rsid w:val="00DC4893"/>
    <w:rsid w:val="00DC6A9F"/>
    <w:rsid w:val="00DD0503"/>
    <w:rsid w:val="00DD33DA"/>
    <w:rsid w:val="00DD3486"/>
    <w:rsid w:val="00DD3D8D"/>
    <w:rsid w:val="00DD53F1"/>
    <w:rsid w:val="00DD7BEA"/>
    <w:rsid w:val="00DE1B0A"/>
    <w:rsid w:val="00DE528D"/>
    <w:rsid w:val="00DE782D"/>
    <w:rsid w:val="00DF0822"/>
    <w:rsid w:val="00DF0BA3"/>
    <w:rsid w:val="00DF271B"/>
    <w:rsid w:val="00DF356C"/>
    <w:rsid w:val="00E00A33"/>
    <w:rsid w:val="00E0263F"/>
    <w:rsid w:val="00E05810"/>
    <w:rsid w:val="00E06716"/>
    <w:rsid w:val="00E10278"/>
    <w:rsid w:val="00E11501"/>
    <w:rsid w:val="00E16794"/>
    <w:rsid w:val="00E16DB9"/>
    <w:rsid w:val="00E177A1"/>
    <w:rsid w:val="00E20814"/>
    <w:rsid w:val="00E21148"/>
    <w:rsid w:val="00E25285"/>
    <w:rsid w:val="00E30F84"/>
    <w:rsid w:val="00E3336F"/>
    <w:rsid w:val="00E333BD"/>
    <w:rsid w:val="00E400E3"/>
    <w:rsid w:val="00E417A6"/>
    <w:rsid w:val="00E41B98"/>
    <w:rsid w:val="00E426BA"/>
    <w:rsid w:val="00E43CC5"/>
    <w:rsid w:val="00E44C21"/>
    <w:rsid w:val="00E473C4"/>
    <w:rsid w:val="00E51CA9"/>
    <w:rsid w:val="00E52082"/>
    <w:rsid w:val="00E53AFA"/>
    <w:rsid w:val="00E53D6E"/>
    <w:rsid w:val="00E54065"/>
    <w:rsid w:val="00E555DB"/>
    <w:rsid w:val="00E56551"/>
    <w:rsid w:val="00E568E6"/>
    <w:rsid w:val="00E633D9"/>
    <w:rsid w:val="00E6384E"/>
    <w:rsid w:val="00E63D80"/>
    <w:rsid w:val="00E64291"/>
    <w:rsid w:val="00E64DDC"/>
    <w:rsid w:val="00E674B7"/>
    <w:rsid w:val="00E67CE6"/>
    <w:rsid w:val="00E720E9"/>
    <w:rsid w:val="00E72B2D"/>
    <w:rsid w:val="00E754DA"/>
    <w:rsid w:val="00E76EAD"/>
    <w:rsid w:val="00E77F08"/>
    <w:rsid w:val="00E80381"/>
    <w:rsid w:val="00E8109D"/>
    <w:rsid w:val="00E825B1"/>
    <w:rsid w:val="00E838D7"/>
    <w:rsid w:val="00E8480F"/>
    <w:rsid w:val="00E85FE7"/>
    <w:rsid w:val="00E86954"/>
    <w:rsid w:val="00E86C40"/>
    <w:rsid w:val="00E873ED"/>
    <w:rsid w:val="00E8776D"/>
    <w:rsid w:val="00E90565"/>
    <w:rsid w:val="00E92811"/>
    <w:rsid w:val="00E93439"/>
    <w:rsid w:val="00E9567A"/>
    <w:rsid w:val="00E97630"/>
    <w:rsid w:val="00E97ACA"/>
    <w:rsid w:val="00E97B0E"/>
    <w:rsid w:val="00EA0EA1"/>
    <w:rsid w:val="00EA2200"/>
    <w:rsid w:val="00EA3AC8"/>
    <w:rsid w:val="00EA43E6"/>
    <w:rsid w:val="00EA4B9E"/>
    <w:rsid w:val="00EA5769"/>
    <w:rsid w:val="00EA6FA7"/>
    <w:rsid w:val="00EA7A75"/>
    <w:rsid w:val="00EB196A"/>
    <w:rsid w:val="00EB2E18"/>
    <w:rsid w:val="00EB5A45"/>
    <w:rsid w:val="00EB6AED"/>
    <w:rsid w:val="00EC0368"/>
    <w:rsid w:val="00EC1508"/>
    <w:rsid w:val="00EC4A32"/>
    <w:rsid w:val="00EC6132"/>
    <w:rsid w:val="00EC7147"/>
    <w:rsid w:val="00ED258E"/>
    <w:rsid w:val="00ED407C"/>
    <w:rsid w:val="00ED4B25"/>
    <w:rsid w:val="00ED588A"/>
    <w:rsid w:val="00EE4BF1"/>
    <w:rsid w:val="00EF0E82"/>
    <w:rsid w:val="00EF0F1A"/>
    <w:rsid w:val="00F01945"/>
    <w:rsid w:val="00F02065"/>
    <w:rsid w:val="00F03654"/>
    <w:rsid w:val="00F05296"/>
    <w:rsid w:val="00F11601"/>
    <w:rsid w:val="00F147FE"/>
    <w:rsid w:val="00F17A1D"/>
    <w:rsid w:val="00F2002E"/>
    <w:rsid w:val="00F21ADA"/>
    <w:rsid w:val="00F22790"/>
    <w:rsid w:val="00F25D20"/>
    <w:rsid w:val="00F27503"/>
    <w:rsid w:val="00F27565"/>
    <w:rsid w:val="00F27C02"/>
    <w:rsid w:val="00F30626"/>
    <w:rsid w:val="00F32517"/>
    <w:rsid w:val="00F33A91"/>
    <w:rsid w:val="00F41D88"/>
    <w:rsid w:val="00F44FE9"/>
    <w:rsid w:val="00F4623A"/>
    <w:rsid w:val="00F5158E"/>
    <w:rsid w:val="00F51692"/>
    <w:rsid w:val="00F52DE7"/>
    <w:rsid w:val="00F5598E"/>
    <w:rsid w:val="00F61C2B"/>
    <w:rsid w:val="00F67011"/>
    <w:rsid w:val="00F718C6"/>
    <w:rsid w:val="00F74928"/>
    <w:rsid w:val="00F7695A"/>
    <w:rsid w:val="00F77340"/>
    <w:rsid w:val="00F77545"/>
    <w:rsid w:val="00F802C6"/>
    <w:rsid w:val="00F830AC"/>
    <w:rsid w:val="00F86964"/>
    <w:rsid w:val="00F90E02"/>
    <w:rsid w:val="00F90F98"/>
    <w:rsid w:val="00F911F8"/>
    <w:rsid w:val="00F91CB8"/>
    <w:rsid w:val="00F92390"/>
    <w:rsid w:val="00F93EB6"/>
    <w:rsid w:val="00F94029"/>
    <w:rsid w:val="00F9467B"/>
    <w:rsid w:val="00F94AF6"/>
    <w:rsid w:val="00F95C3C"/>
    <w:rsid w:val="00F95CC7"/>
    <w:rsid w:val="00FA1EBA"/>
    <w:rsid w:val="00FA3DF6"/>
    <w:rsid w:val="00FA684A"/>
    <w:rsid w:val="00FA6D5C"/>
    <w:rsid w:val="00FA7D14"/>
    <w:rsid w:val="00FB0367"/>
    <w:rsid w:val="00FB230A"/>
    <w:rsid w:val="00FB4B79"/>
    <w:rsid w:val="00FB5D68"/>
    <w:rsid w:val="00FC04C1"/>
    <w:rsid w:val="00FC3D66"/>
    <w:rsid w:val="00FD1633"/>
    <w:rsid w:val="00FD37CF"/>
    <w:rsid w:val="00FF32DA"/>
    <w:rsid w:val="00FF65CC"/>
    <w:rsid w:val="0117439F"/>
    <w:rsid w:val="0213F5B7"/>
    <w:rsid w:val="021CD5CF"/>
    <w:rsid w:val="024F3338"/>
    <w:rsid w:val="0304F623"/>
    <w:rsid w:val="03969DBB"/>
    <w:rsid w:val="03E5205F"/>
    <w:rsid w:val="04D6D4E9"/>
    <w:rsid w:val="05F7087E"/>
    <w:rsid w:val="0618BF76"/>
    <w:rsid w:val="062D354D"/>
    <w:rsid w:val="063A014C"/>
    <w:rsid w:val="0689367B"/>
    <w:rsid w:val="079761CE"/>
    <w:rsid w:val="07CE1243"/>
    <w:rsid w:val="098C3114"/>
    <w:rsid w:val="0A480A25"/>
    <w:rsid w:val="0A971CB0"/>
    <w:rsid w:val="0AE474D6"/>
    <w:rsid w:val="0B16C69E"/>
    <w:rsid w:val="0B3B950F"/>
    <w:rsid w:val="0B869000"/>
    <w:rsid w:val="0B913F12"/>
    <w:rsid w:val="0B9A16A9"/>
    <w:rsid w:val="0BB5ACFE"/>
    <w:rsid w:val="0BC8E52B"/>
    <w:rsid w:val="0E19AF29"/>
    <w:rsid w:val="0E50F3B5"/>
    <w:rsid w:val="0EDA5814"/>
    <w:rsid w:val="0F1E40D6"/>
    <w:rsid w:val="0F978B55"/>
    <w:rsid w:val="0FB091F4"/>
    <w:rsid w:val="1037D679"/>
    <w:rsid w:val="10573E9C"/>
    <w:rsid w:val="106F0538"/>
    <w:rsid w:val="11E4310B"/>
    <w:rsid w:val="121F05C8"/>
    <w:rsid w:val="1236F7BF"/>
    <w:rsid w:val="126423F5"/>
    <w:rsid w:val="13229739"/>
    <w:rsid w:val="1337687D"/>
    <w:rsid w:val="1402FEDE"/>
    <w:rsid w:val="1407C43B"/>
    <w:rsid w:val="140DADF0"/>
    <w:rsid w:val="14168587"/>
    <w:rsid w:val="14A7D40B"/>
    <w:rsid w:val="15111823"/>
    <w:rsid w:val="151B3A55"/>
    <w:rsid w:val="15E784D4"/>
    <w:rsid w:val="161CA1B2"/>
    <w:rsid w:val="17945D3B"/>
    <w:rsid w:val="192765B5"/>
    <w:rsid w:val="19309DD6"/>
    <w:rsid w:val="19892606"/>
    <w:rsid w:val="19C40BD6"/>
    <w:rsid w:val="19E02215"/>
    <w:rsid w:val="19EEDE49"/>
    <w:rsid w:val="1A133B06"/>
    <w:rsid w:val="1A32F9DC"/>
    <w:rsid w:val="1A950E84"/>
    <w:rsid w:val="1ADC474D"/>
    <w:rsid w:val="1B0C6CF8"/>
    <w:rsid w:val="1B7FF4C2"/>
    <w:rsid w:val="1C32A484"/>
    <w:rsid w:val="1C67CE5E"/>
    <w:rsid w:val="1D24DA61"/>
    <w:rsid w:val="1D4E79C7"/>
    <w:rsid w:val="1D7EA294"/>
    <w:rsid w:val="1DFC5444"/>
    <w:rsid w:val="1E32D1E8"/>
    <w:rsid w:val="1E5F11E1"/>
    <w:rsid w:val="1E75D099"/>
    <w:rsid w:val="1EA32492"/>
    <w:rsid w:val="1EEA4A28"/>
    <w:rsid w:val="1F14C28C"/>
    <w:rsid w:val="1F718017"/>
    <w:rsid w:val="1FB882EF"/>
    <w:rsid w:val="2016ECBC"/>
    <w:rsid w:val="20F15064"/>
    <w:rsid w:val="219F0FBE"/>
    <w:rsid w:val="2364F9CF"/>
    <w:rsid w:val="23AC79F9"/>
    <w:rsid w:val="23D5B881"/>
    <w:rsid w:val="23FC93C3"/>
    <w:rsid w:val="2445240B"/>
    <w:rsid w:val="246959A6"/>
    <w:rsid w:val="24A1174D"/>
    <w:rsid w:val="2527CCEA"/>
    <w:rsid w:val="25328D0F"/>
    <w:rsid w:val="25BB4165"/>
    <w:rsid w:val="27042280"/>
    <w:rsid w:val="275711C6"/>
    <w:rsid w:val="27CCF038"/>
    <w:rsid w:val="28249F6A"/>
    <w:rsid w:val="282C4963"/>
    <w:rsid w:val="284FA4AE"/>
    <w:rsid w:val="292C5523"/>
    <w:rsid w:val="29E451D2"/>
    <w:rsid w:val="2ABF0293"/>
    <w:rsid w:val="2B856DF5"/>
    <w:rsid w:val="2C00845C"/>
    <w:rsid w:val="2D4D7905"/>
    <w:rsid w:val="2D784B78"/>
    <w:rsid w:val="2D8F3D33"/>
    <w:rsid w:val="2EDD6B64"/>
    <w:rsid w:val="2EE07312"/>
    <w:rsid w:val="2EF45D1F"/>
    <w:rsid w:val="2EF75D0F"/>
    <w:rsid w:val="2F97F95A"/>
    <w:rsid w:val="2FE5C32D"/>
    <w:rsid w:val="2FE6E68A"/>
    <w:rsid w:val="31C58D63"/>
    <w:rsid w:val="320D0D8D"/>
    <w:rsid w:val="32E9A15C"/>
    <w:rsid w:val="3356D9F7"/>
    <w:rsid w:val="33C11B3F"/>
    <w:rsid w:val="35A72E51"/>
    <w:rsid w:val="35B1EE76"/>
    <w:rsid w:val="35B639FC"/>
    <w:rsid w:val="36F8575A"/>
    <w:rsid w:val="37A3BEC7"/>
    <w:rsid w:val="3820A846"/>
    <w:rsid w:val="3A51D652"/>
    <w:rsid w:val="3A5AADE9"/>
    <w:rsid w:val="3B544466"/>
    <w:rsid w:val="3B5567C3"/>
    <w:rsid w:val="3C3D8A1D"/>
    <w:rsid w:val="3C797BBC"/>
    <w:rsid w:val="3C82B3DD"/>
    <w:rsid w:val="3CF2F811"/>
    <w:rsid w:val="3D21C693"/>
    <w:rsid w:val="3D2F1769"/>
    <w:rsid w:val="3D5165D9"/>
    <w:rsid w:val="3E9A2EE8"/>
    <w:rsid w:val="3F126E6F"/>
    <w:rsid w:val="3F36130D"/>
    <w:rsid w:val="3F52DC6F"/>
    <w:rsid w:val="3F78A87B"/>
    <w:rsid w:val="3FE50A6C"/>
    <w:rsid w:val="40B1A367"/>
    <w:rsid w:val="4136E1F4"/>
    <w:rsid w:val="414E6A4B"/>
    <w:rsid w:val="4169B224"/>
    <w:rsid w:val="41EDAFD2"/>
    <w:rsid w:val="43E6286E"/>
    <w:rsid w:val="4416CD90"/>
    <w:rsid w:val="44F5EA9A"/>
    <w:rsid w:val="459EAC26"/>
    <w:rsid w:val="45AC2809"/>
    <w:rsid w:val="45EF8117"/>
    <w:rsid w:val="46D8C6CE"/>
    <w:rsid w:val="46EFC321"/>
    <w:rsid w:val="46FC06C5"/>
    <w:rsid w:val="479444BA"/>
    <w:rsid w:val="47973A12"/>
    <w:rsid w:val="4884A316"/>
    <w:rsid w:val="48D3AB24"/>
    <w:rsid w:val="48D7E07F"/>
    <w:rsid w:val="490C65E5"/>
    <w:rsid w:val="49A92231"/>
    <w:rsid w:val="49BC7895"/>
    <w:rsid w:val="49CAD929"/>
    <w:rsid w:val="4A363B73"/>
    <w:rsid w:val="4A8B777C"/>
    <w:rsid w:val="4AE34771"/>
    <w:rsid w:val="4AF1E7FA"/>
    <w:rsid w:val="4B5B300C"/>
    <w:rsid w:val="4BD4A1EC"/>
    <w:rsid w:val="4C81B580"/>
    <w:rsid w:val="4CBF1693"/>
    <w:rsid w:val="4D69A91F"/>
    <w:rsid w:val="4E1F0BDD"/>
    <w:rsid w:val="4E6CEC14"/>
    <w:rsid w:val="4F3D6F10"/>
    <w:rsid w:val="5055AA87"/>
    <w:rsid w:val="505A981D"/>
    <w:rsid w:val="505B943C"/>
    <w:rsid w:val="5063B398"/>
    <w:rsid w:val="522F816B"/>
    <w:rsid w:val="5342F785"/>
    <w:rsid w:val="53DFB3D1"/>
    <w:rsid w:val="53E8642A"/>
    <w:rsid w:val="54D69DF2"/>
    <w:rsid w:val="555F2394"/>
    <w:rsid w:val="55A9D167"/>
    <w:rsid w:val="57017B7D"/>
    <w:rsid w:val="57B742A5"/>
    <w:rsid w:val="57C89F3A"/>
    <w:rsid w:val="57ECEC63"/>
    <w:rsid w:val="5ADEFEBE"/>
    <w:rsid w:val="5AF5D4CE"/>
    <w:rsid w:val="5BA00812"/>
    <w:rsid w:val="5C89CB75"/>
    <w:rsid w:val="5D576D86"/>
    <w:rsid w:val="5D6B757C"/>
    <w:rsid w:val="5D9E02A4"/>
    <w:rsid w:val="5E9CA77A"/>
    <w:rsid w:val="5EBFAA08"/>
    <w:rsid w:val="5ED357EF"/>
    <w:rsid w:val="5EEC74B9"/>
    <w:rsid w:val="60CEFBF6"/>
    <w:rsid w:val="6134F1A2"/>
    <w:rsid w:val="614712E5"/>
    <w:rsid w:val="61B520FA"/>
    <w:rsid w:val="62551A9F"/>
    <w:rsid w:val="626CE13B"/>
    <w:rsid w:val="6283DD8E"/>
    <w:rsid w:val="62882914"/>
    <w:rsid w:val="62AEE2D2"/>
    <w:rsid w:val="63372073"/>
    <w:rsid w:val="6365EEF5"/>
    <w:rsid w:val="63E20D0E"/>
    <w:rsid w:val="6444B44E"/>
    <w:rsid w:val="6555EE46"/>
    <w:rsid w:val="6584BCC8"/>
    <w:rsid w:val="663EA300"/>
    <w:rsid w:val="67255901"/>
    <w:rsid w:val="67810FD5"/>
    <w:rsid w:val="6854545D"/>
    <w:rsid w:val="6862FF7E"/>
    <w:rsid w:val="6876CF23"/>
    <w:rsid w:val="68C17CF6"/>
    <w:rsid w:val="6907BE80"/>
    <w:rsid w:val="69117173"/>
    <w:rsid w:val="69299DB1"/>
    <w:rsid w:val="697643C2"/>
    <w:rsid w:val="6A0E7019"/>
    <w:rsid w:val="6AE19564"/>
    <w:rsid w:val="6B089401"/>
    <w:rsid w:val="6B88420C"/>
    <w:rsid w:val="6C33A979"/>
    <w:rsid w:val="6C34CCD6"/>
    <w:rsid w:val="6D052894"/>
    <w:rsid w:val="6D0B6C58"/>
    <w:rsid w:val="6D3670A1"/>
    <w:rsid w:val="6DDD8D83"/>
    <w:rsid w:val="6E901FCB"/>
    <w:rsid w:val="6FB73196"/>
    <w:rsid w:val="6FE065DA"/>
    <w:rsid w:val="7094BA0E"/>
    <w:rsid w:val="70B0E8D6"/>
    <w:rsid w:val="70DE1929"/>
    <w:rsid w:val="716C66C2"/>
    <w:rsid w:val="716F3109"/>
    <w:rsid w:val="71BF021B"/>
    <w:rsid w:val="71BF2959"/>
    <w:rsid w:val="73A2FB31"/>
    <w:rsid w:val="73ACAE24"/>
    <w:rsid w:val="745F4366"/>
    <w:rsid w:val="7560A34D"/>
    <w:rsid w:val="757CD215"/>
    <w:rsid w:val="76041E2F"/>
    <w:rsid w:val="7689EF3B"/>
    <w:rsid w:val="768AEB5A"/>
    <w:rsid w:val="778A3145"/>
    <w:rsid w:val="77CCFD25"/>
    <w:rsid w:val="788B7069"/>
    <w:rsid w:val="78CAAB5E"/>
    <w:rsid w:val="7949E3AD"/>
    <w:rsid w:val="7C5A660A"/>
    <w:rsid w:val="7CA52292"/>
    <w:rsid w:val="7D1E9EE7"/>
    <w:rsid w:val="7D8ACDBF"/>
    <w:rsid w:val="7DF07F87"/>
    <w:rsid w:val="7DFE0650"/>
    <w:rsid w:val="7E03F005"/>
    <w:rsid w:val="7E15CCEC"/>
    <w:rsid w:val="7E3E37E2"/>
    <w:rsid w:val="7EF05252"/>
    <w:rsid w:val="7F335B9B"/>
    <w:rsid w:val="7FDDB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C5552"/>
  <w15:chartTrackingRefBased/>
  <w15:docId w15:val="{AB0715DB-8E66-4FD1-AF48-A7DDF99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56BC3"/>
    <w:pPr>
      <w:ind w:left="0" w:firstLine="0"/>
    </w:pPr>
  </w:style>
  <w:style w:type="character" w:customStyle="1" w:styleId="Title3Char">
    <w:name w:val="Title 3 Char"/>
    <w:basedOn w:val="DefaultParagraphFont"/>
    <w:link w:val="Title3"/>
    <w:rsid w:val="00056BC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 w:type="character" w:styleId="UnresolvedMention">
    <w:name w:val="Unresolved Mention"/>
    <w:basedOn w:val="DefaultParagraphFont"/>
    <w:uiPriority w:val="99"/>
    <w:unhideWhenUsed/>
    <w:rsid w:val="00E568E6"/>
    <w:rPr>
      <w:color w:val="605E5C"/>
      <w:shd w:val="clear" w:color="auto" w:fill="E1DFDD"/>
    </w:rPr>
  </w:style>
  <w:style w:type="paragraph" w:styleId="NormalWeb">
    <w:name w:val="Normal (Web)"/>
    <w:basedOn w:val="Normal"/>
    <w:uiPriority w:val="99"/>
    <w:semiHidden/>
    <w:unhideWhenUsed/>
    <w:rsid w:val="002232A6"/>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2232A6"/>
    <w:rPr>
      <w:b/>
      <w:bCs/>
    </w:rPr>
  </w:style>
  <w:style w:type="character" w:styleId="CommentReference">
    <w:name w:val="annotation reference"/>
    <w:basedOn w:val="DefaultParagraphFont"/>
    <w:uiPriority w:val="99"/>
    <w:semiHidden/>
    <w:unhideWhenUsed/>
    <w:rsid w:val="00DC6A9F"/>
    <w:rPr>
      <w:sz w:val="16"/>
      <w:szCs w:val="16"/>
    </w:rPr>
  </w:style>
  <w:style w:type="paragraph" w:styleId="CommentText">
    <w:name w:val="annotation text"/>
    <w:basedOn w:val="Normal"/>
    <w:link w:val="CommentTextChar"/>
    <w:uiPriority w:val="99"/>
    <w:semiHidden/>
    <w:unhideWhenUsed/>
    <w:rsid w:val="00DC6A9F"/>
    <w:pPr>
      <w:spacing w:line="240" w:lineRule="auto"/>
    </w:pPr>
    <w:rPr>
      <w:sz w:val="20"/>
      <w:szCs w:val="20"/>
    </w:rPr>
  </w:style>
  <w:style w:type="character" w:customStyle="1" w:styleId="CommentTextChar">
    <w:name w:val="Comment Text Char"/>
    <w:basedOn w:val="DefaultParagraphFont"/>
    <w:link w:val="CommentText"/>
    <w:uiPriority w:val="99"/>
    <w:semiHidden/>
    <w:rsid w:val="00DC6A9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C6A9F"/>
    <w:rPr>
      <w:b/>
      <w:bCs/>
    </w:rPr>
  </w:style>
  <w:style w:type="character" w:customStyle="1" w:styleId="CommentSubjectChar">
    <w:name w:val="Comment Subject Char"/>
    <w:basedOn w:val="CommentTextChar"/>
    <w:link w:val="CommentSubject"/>
    <w:uiPriority w:val="99"/>
    <w:semiHidden/>
    <w:rsid w:val="00DC6A9F"/>
    <w:rPr>
      <w:rFonts w:ascii="Arial" w:eastAsiaTheme="minorHAnsi" w:hAnsi="Arial"/>
      <w:b/>
      <w:bCs/>
      <w:sz w:val="20"/>
      <w:szCs w:val="20"/>
      <w:lang w:eastAsia="en-US"/>
    </w:rPr>
  </w:style>
  <w:style w:type="character" w:styleId="Mention">
    <w:name w:val="Mention"/>
    <w:basedOn w:val="DefaultParagraphFont"/>
    <w:uiPriority w:val="99"/>
    <w:unhideWhenUsed/>
    <w:rsid w:val="0025763A"/>
    <w:rPr>
      <w:color w:val="2B579A"/>
      <w:shd w:val="clear" w:color="auto" w:fill="E1DFDD"/>
    </w:rPr>
  </w:style>
  <w:style w:type="character" w:customStyle="1" w:styleId="normaltextrun">
    <w:name w:val="normaltextrun"/>
    <w:basedOn w:val="DefaultParagraphFont"/>
    <w:rsid w:val="00793361"/>
  </w:style>
  <w:style w:type="character" w:customStyle="1" w:styleId="tabchar">
    <w:name w:val="tabchar"/>
    <w:basedOn w:val="DefaultParagraphFont"/>
    <w:rsid w:val="00793361"/>
  </w:style>
  <w:style w:type="character" w:customStyle="1" w:styleId="eop">
    <w:name w:val="eop"/>
    <w:basedOn w:val="DefaultParagraphFont"/>
    <w:rsid w:val="00793361"/>
  </w:style>
  <w:style w:type="character" w:styleId="FollowedHyperlink">
    <w:name w:val="FollowedHyperlink"/>
    <w:basedOn w:val="DefaultParagraphFont"/>
    <w:uiPriority w:val="99"/>
    <w:semiHidden/>
    <w:unhideWhenUsed/>
    <w:rsid w:val="009E1386"/>
    <w:rPr>
      <w:color w:val="954F72" w:themeColor="followedHyperlink"/>
      <w:u w:val="single"/>
    </w:rPr>
  </w:style>
  <w:style w:type="paragraph" w:customStyle="1" w:styleId="Default">
    <w:name w:val="Default"/>
    <w:rsid w:val="00EB5A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58">
      <w:bodyDiv w:val="1"/>
      <w:marLeft w:val="0"/>
      <w:marRight w:val="0"/>
      <w:marTop w:val="0"/>
      <w:marBottom w:val="0"/>
      <w:divBdr>
        <w:top w:val="none" w:sz="0" w:space="0" w:color="auto"/>
        <w:left w:val="none" w:sz="0" w:space="0" w:color="auto"/>
        <w:bottom w:val="none" w:sz="0" w:space="0" w:color="auto"/>
        <w:right w:val="none" w:sz="0" w:space="0" w:color="auto"/>
      </w:divBdr>
    </w:div>
    <w:div w:id="425032058">
      <w:bodyDiv w:val="1"/>
      <w:marLeft w:val="0"/>
      <w:marRight w:val="0"/>
      <w:marTop w:val="0"/>
      <w:marBottom w:val="0"/>
      <w:divBdr>
        <w:top w:val="none" w:sz="0" w:space="0" w:color="auto"/>
        <w:left w:val="none" w:sz="0" w:space="0" w:color="auto"/>
        <w:bottom w:val="none" w:sz="0" w:space="0" w:color="auto"/>
        <w:right w:val="none" w:sz="0" w:space="0" w:color="auto"/>
      </w:divBdr>
      <w:divsChild>
        <w:div w:id="735007954">
          <w:marLeft w:val="1166"/>
          <w:marRight w:val="0"/>
          <w:marTop w:val="86"/>
          <w:marBottom w:val="200"/>
          <w:divBdr>
            <w:top w:val="none" w:sz="0" w:space="0" w:color="auto"/>
            <w:left w:val="none" w:sz="0" w:space="0" w:color="auto"/>
            <w:bottom w:val="none" w:sz="0" w:space="0" w:color="auto"/>
            <w:right w:val="none" w:sz="0" w:space="0" w:color="auto"/>
          </w:divBdr>
        </w:div>
        <w:div w:id="912206236">
          <w:marLeft w:val="1166"/>
          <w:marRight w:val="0"/>
          <w:marTop w:val="86"/>
          <w:marBottom w:val="0"/>
          <w:divBdr>
            <w:top w:val="none" w:sz="0" w:space="0" w:color="auto"/>
            <w:left w:val="none" w:sz="0" w:space="0" w:color="auto"/>
            <w:bottom w:val="none" w:sz="0" w:space="0" w:color="auto"/>
            <w:right w:val="none" w:sz="0" w:space="0" w:color="auto"/>
          </w:divBdr>
        </w:div>
        <w:div w:id="1258564622">
          <w:marLeft w:val="1166"/>
          <w:marRight w:val="0"/>
          <w:marTop w:val="86"/>
          <w:marBottom w:val="0"/>
          <w:divBdr>
            <w:top w:val="none" w:sz="0" w:space="0" w:color="auto"/>
            <w:left w:val="none" w:sz="0" w:space="0" w:color="auto"/>
            <w:bottom w:val="none" w:sz="0" w:space="0" w:color="auto"/>
            <w:right w:val="none" w:sz="0" w:space="0" w:color="auto"/>
          </w:divBdr>
        </w:div>
        <w:div w:id="1362701742">
          <w:marLeft w:val="1166"/>
          <w:marRight w:val="0"/>
          <w:marTop w:val="86"/>
          <w:marBottom w:val="0"/>
          <w:divBdr>
            <w:top w:val="none" w:sz="0" w:space="0" w:color="auto"/>
            <w:left w:val="none" w:sz="0" w:space="0" w:color="auto"/>
            <w:bottom w:val="none" w:sz="0" w:space="0" w:color="auto"/>
            <w:right w:val="none" w:sz="0" w:space="0" w:color="auto"/>
          </w:divBdr>
        </w:div>
      </w:divsChild>
    </w:div>
    <w:div w:id="549466231">
      <w:bodyDiv w:val="1"/>
      <w:marLeft w:val="0"/>
      <w:marRight w:val="0"/>
      <w:marTop w:val="0"/>
      <w:marBottom w:val="0"/>
      <w:divBdr>
        <w:top w:val="none" w:sz="0" w:space="0" w:color="auto"/>
        <w:left w:val="none" w:sz="0" w:space="0" w:color="auto"/>
        <w:bottom w:val="none" w:sz="0" w:space="0" w:color="auto"/>
        <w:right w:val="none" w:sz="0" w:space="0" w:color="auto"/>
      </w:divBdr>
    </w:div>
    <w:div w:id="595751980">
      <w:bodyDiv w:val="1"/>
      <w:marLeft w:val="0"/>
      <w:marRight w:val="0"/>
      <w:marTop w:val="0"/>
      <w:marBottom w:val="0"/>
      <w:divBdr>
        <w:top w:val="none" w:sz="0" w:space="0" w:color="auto"/>
        <w:left w:val="none" w:sz="0" w:space="0" w:color="auto"/>
        <w:bottom w:val="none" w:sz="0" w:space="0" w:color="auto"/>
        <w:right w:val="none" w:sz="0" w:space="0" w:color="auto"/>
      </w:divBdr>
    </w:div>
    <w:div w:id="1012415788">
      <w:bodyDiv w:val="1"/>
      <w:marLeft w:val="0"/>
      <w:marRight w:val="0"/>
      <w:marTop w:val="0"/>
      <w:marBottom w:val="0"/>
      <w:divBdr>
        <w:top w:val="none" w:sz="0" w:space="0" w:color="auto"/>
        <w:left w:val="none" w:sz="0" w:space="0" w:color="auto"/>
        <w:bottom w:val="none" w:sz="0" w:space="0" w:color="auto"/>
        <w:right w:val="none" w:sz="0" w:space="0" w:color="auto"/>
      </w:divBdr>
    </w:div>
    <w:div w:id="1221214649">
      <w:bodyDiv w:val="1"/>
      <w:marLeft w:val="0"/>
      <w:marRight w:val="0"/>
      <w:marTop w:val="0"/>
      <w:marBottom w:val="0"/>
      <w:divBdr>
        <w:top w:val="none" w:sz="0" w:space="0" w:color="auto"/>
        <w:left w:val="none" w:sz="0" w:space="0" w:color="auto"/>
        <w:bottom w:val="none" w:sz="0" w:space="0" w:color="auto"/>
        <w:right w:val="none" w:sz="0" w:space="0" w:color="auto"/>
      </w:divBdr>
    </w:div>
    <w:div w:id="1706320945">
      <w:bodyDiv w:val="1"/>
      <w:marLeft w:val="0"/>
      <w:marRight w:val="0"/>
      <w:marTop w:val="0"/>
      <w:marBottom w:val="0"/>
      <w:divBdr>
        <w:top w:val="none" w:sz="0" w:space="0" w:color="auto"/>
        <w:left w:val="none" w:sz="0" w:space="0" w:color="auto"/>
        <w:bottom w:val="none" w:sz="0" w:space="0" w:color="auto"/>
        <w:right w:val="none" w:sz="0" w:space="0" w:color="auto"/>
      </w:divBdr>
      <w:divsChild>
        <w:div w:id="17702720">
          <w:marLeft w:val="0"/>
          <w:marRight w:val="0"/>
          <w:marTop w:val="0"/>
          <w:marBottom w:val="0"/>
          <w:divBdr>
            <w:top w:val="none" w:sz="0" w:space="0" w:color="auto"/>
            <w:left w:val="none" w:sz="0" w:space="0" w:color="auto"/>
            <w:bottom w:val="none" w:sz="0" w:space="0" w:color="auto"/>
            <w:right w:val="none" w:sz="0" w:space="0" w:color="auto"/>
          </w:divBdr>
        </w:div>
        <w:div w:id="1563177673">
          <w:marLeft w:val="0"/>
          <w:marRight w:val="0"/>
          <w:marTop w:val="0"/>
          <w:marBottom w:val="0"/>
          <w:divBdr>
            <w:top w:val="none" w:sz="0" w:space="0" w:color="auto"/>
            <w:left w:val="none" w:sz="0" w:space="0" w:color="auto"/>
            <w:bottom w:val="none" w:sz="0" w:space="0" w:color="auto"/>
            <w:right w:val="none" w:sz="0" w:space="0" w:color="auto"/>
          </w:divBdr>
        </w:div>
      </w:divsChild>
    </w:div>
    <w:div w:id="1903561808">
      <w:bodyDiv w:val="1"/>
      <w:marLeft w:val="0"/>
      <w:marRight w:val="0"/>
      <w:marTop w:val="0"/>
      <w:marBottom w:val="0"/>
      <w:divBdr>
        <w:top w:val="none" w:sz="0" w:space="0" w:color="auto"/>
        <w:left w:val="none" w:sz="0" w:space="0" w:color="auto"/>
        <w:bottom w:val="none" w:sz="0" w:space="0" w:color="auto"/>
        <w:right w:val="none" w:sz="0" w:space="0" w:color="auto"/>
      </w:divBdr>
    </w:div>
    <w:div w:id="21444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k-shared-prosperity-fund-pre-launch-guidance" TargetMode="External"/><Relationship Id="rId18" Type="http://schemas.openxmlformats.org/officeDocument/2006/relationships/hyperlink" Target="https://media.nesta.org.uk/documents/Creativity_and_the_Future_of_Skills_v6.pdf" TargetMode="External"/><Relationship Id="rId26" Type="http://schemas.openxmlformats.org/officeDocument/2006/relationships/hyperlink" Target="http://sramedia.s3.amazonaws.com/media/documents/2e26bde5-cfaf-451a-b87c-893937fc35fd.pdf" TargetMode="External"/><Relationship Id="rId39" Type="http://schemas.openxmlformats.org/officeDocument/2006/relationships/hyperlink" Target="https://www.local.gov.uk/cultural-strategy-box" TargetMode="External"/><Relationship Id="rId3" Type="http://schemas.openxmlformats.org/officeDocument/2006/relationships/customXml" Target="../customXml/item3.xml"/><Relationship Id="rId21" Type="http://schemas.openxmlformats.org/officeDocument/2006/relationships/hyperlink" Target="https://www.economicmodelling.co.uk/wp-content/uploads/2021/02/cimspa-workforce-insight-report.pdf" TargetMode="External"/><Relationship Id="rId34" Type="http://schemas.openxmlformats.org/officeDocument/2006/relationships/hyperlink" Target="http://artsevidence.org.uk/media/uploads/re-imagining-futures-research-report-final.pdf" TargetMode="External"/><Relationship Id="rId42" Type="http://schemas.openxmlformats.org/officeDocument/2006/relationships/hyperlink" Target="https://www.local.gov.uk/publications/securing-future-public-sport-and-leisure-service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4766/Technical_annex_-_missions_and_metrics.pdf" TargetMode="External"/><Relationship Id="rId17" Type="http://schemas.openxmlformats.org/officeDocument/2006/relationships/hyperlink" Target="https://www.creativeindustriesfederation.com/statistics" TargetMode="External"/><Relationship Id="rId25" Type="http://schemas.openxmlformats.org/officeDocument/2006/relationships/hyperlink" Target="https://www.varotherham.org.uk/evaluation/" TargetMode="External"/><Relationship Id="rId33" Type="http://schemas.openxmlformats.org/officeDocument/2006/relationships/hyperlink" Target="https://www.local.gov.uk/case-studies/regeneration-community-burnholme-health-and-wellbeing-hub" TargetMode="External"/><Relationship Id="rId38" Type="http://schemas.openxmlformats.org/officeDocument/2006/relationships/hyperlink" Target="https://www.local.gov.uk/publications/culture-led-regeneration-achieving-inclusive-and-sustainable-growth"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sers/samanthara/Downloads/Impact%20of%20Coronavirus%20on%20School%20Swimming%20and%20Water%20Safety%20report%20(3).pdf" TargetMode="External"/><Relationship Id="rId20" Type="http://schemas.openxmlformats.org/officeDocument/2006/relationships/hyperlink" Target="https://www.bl.uk/business-and-ip-centre/about" TargetMode="External"/><Relationship Id="rId29" Type="http://schemas.openxmlformats.org/officeDocument/2006/relationships/hyperlink" Target="https://whatworkswellbeing.org/wp-content/uploads/2020/01/heritage-briefing-20-MARCH.pdf" TargetMode="External"/><Relationship Id="rId41" Type="http://schemas.openxmlformats.org/officeDocument/2006/relationships/hyperlink" Target="https://www.local.gov.uk/topics/culture-tourism-leisure-and-sport/good-practice-cul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evelling-up-the-united-kingdom" TargetMode="External"/><Relationship Id="rId24" Type="http://schemas.openxmlformats.org/officeDocument/2006/relationships/hyperlink" Target="https://journals.scholarpublishing.org/index.php/ASSRJ/article/view/1889" TargetMode="External"/><Relationship Id="rId32" Type="http://schemas.openxmlformats.org/officeDocument/2006/relationships/hyperlink" Target="https://www.bennettinstitute.cam.ac.uk/publications/social-infrastructure/" TargetMode="External"/><Relationship Id="rId37" Type="http://schemas.openxmlformats.org/officeDocument/2006/relationships/hyperlink" Target="http://sramedia.s3.amazonaws.com/media/documents/2e26bde5-cfaf-451a-b87c-893937fc35fd.pdf" TargetMode="External"/><Relationship Id="rId40" Type="http://schemas.openxmlformats.org/officeDocument/2006/relationships/hyperlink" Target="https://local.gov.uk/sites/default/files/documents/12.22_Supporting_the_creative_sector_07.1%20-%20creative%20places%20-%202%20Sep.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eu.mimecast.com/s/c0nfC580KIMD1rQhzL0dZ" TargetMode="External"/><Relationship Id="rId23" Type="http://schemas.openxmlformats.org/officeDocument/2006/relationships/hyperlink" Target="https://www.culturehealthandwellbeing.org.uk/appg-inquiry/Publications/Creative_Health_Inquiry_Report_2017_-_Second_Edition.pdf" TargetMode="External"/><Relationship Id="rId28" Type="http://schemas.openxmlformats.org/officeDocument/2006/relationships/hyperlink" Target="https://readingagency.org.uk/news/media/new-survey-reveals-reading-groups-offer-insight-into-different-cultures.html" TargetMode="External"/><Relationship Id="rId36" Type="http://schemas.openxmlformats.org/officeDocument/2006/relationships/hyperlink" Target="https://artsincriminaljustice.org.uk/evidence-librar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ec.ac.uk/assets/publications/PEC-Creative-Radar-report-November-2020.pdf" TargetMode="External"/><Relationship Id="rId31" Type="http://schemas.openxmlformats.org/officeDocument/2006/relationships/hyperlink" Target="https://protect-eu.mimecast.com/s/lYZECY6XqID4OvYf0n6_ow" TargetMode="External"/><Relationship Id="rId44" Type="http://schemas.openxmlformats.org/officeDocument/2006/relationships/hyperlink" Target="https://local.gov.uk/topics/culture-tourism-leisure-and-sport/commission-culture-and-local-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evelling-white-paper-lga-briefing" TargetMode="External"/><Relationship Id="rId22" Type="http://schemas.openxmlformats.org/officeDocument/2006/relationships/hyperlink" Target="https://www.swimming.org/swimengland/swim-census-2018-workforce-learn-swim-statistics/" TargetMode="External"/><Relationship Id="rId27" Type="http://schemas.openxmlformats.org/officeDocument/2006/relationships/hyperlink" Target="https://academic.oup.com/eurpub/article/28/3/404/4866827" TargetMode="External"/><Relationship Id="rId30" Type="http://schemas.openxmlformats.org/officeDocument/2006/relationships/hyperlink" Target="https://www.cyclinguk.org/community-outreach/health" TargetMode="External"/><Relationship Id="rId35" Type="http://schemas.openxmlformats.org/officeDocument/2006/relationships/hyperlink" Target="https://www.gov.uk/government/uploads/system/uploads/attachment_data/file/459470/prisoners-education-trust-report.pdf" TargetMode="External"/><Relationship Id="rId43" Type="http://schemas.openxmlformats.org/officeDocument/2006/relationships/hyperlink" Target="https://local.gov.uk/sites/default/files/documents/12.19%20Work%20Local%20-%20skills%20in%20the%20tourism%20sector_V04.pdf"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062FD505539E46F5BB11983DBF00A85F"/>
        <w:category>
          <w:name w:val="General"/>
          <w:gallery w:val="placeholder"/>
        </w:category>
        <w:types>
          <w:type w:val="bbPlcHdr"/>
        </w:types>
        <w:behaviors>
          <w:behavior w:val="content"/>
        </w:behaviors>
        <w:guid w:val="{02E403D2-40F4-4E29-9A56-1462CA7B4171}"/>
      </w:docPartPr>
      <w:docPartBody>
        <w:p w:rsidR="00EC220E" w:rsidRDefault="004246F2" w:rsidP="004246F2">
          <w:pPr>
            <w:pStyle w:val="062FD505539E46F5BB11983DBF00A85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40D26"/>
    <w:rsid w:val="0014515E"/>
    <w:rsid w:val="001C79DF"/>
    <w:rsid w:val="001F273F"/>
    <w:rsid w:val="002F1F5C"/>
    <w:rsid w:val="003148EC"/>
    <w:rsid w:val="004246F2"/>
    <w:rsid w:val="006163AE"/>
    <w:rsid w:val="007B4C83"/>
    <w:rsid w:val="00947B75"/>
    <w:rsid w:val="00953E05"/>
    <w:rsid w:val="009F5BF8"/>
    <w:rsid w:val="00A64638"/>
    <w:rsid w:val="00AA7A80"/>
    <w:rsid w:val="00BD0D5C"/>
    <w:rsid w:val="00C55C41"/>
    <w:rsid w:val="00CF56AA"/>
    <w:rsid w:val="00DB1FBA"/>
    <w:rsid w:val="00E36475"/>
    <w:rsid w:val="00EC2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6A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 w:type="paragraph" w:customStyle="1" w:styleId="062FD505539E46F5BB11983DBF00A85F">
    <w:name w:val="062FD505539E46F5BB11983DBF00A85F"/>
    <w:rsid w:val="004246F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5" ma:contentTypeDescription="Create a new document." ma:contentTypeScope="" ma:versionID="d67b6be858700ca495dfe7dc56692bee">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b154fefd28f28fc5ec391eb3d93906fa"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UserInfo>
        <DisplayName>Emma West</DisplayName>
        <AccountId>181</AccountId>
        <AccountType/>
      </UserInfo>
      <UserInfo>
        <DisplayName>Ian Leete</DisplayName>
        <AccountId>14</AccountId>
        <AccountType/>
      </UserInfo>
      <UserInfo>
        <DisplayName>Jade Nimmo</DisplayName>
        <AccountId>270</AccountId>
        <AccountType/>
      </UserInfo>
    </SharedWithUsers>
  </documentManagement>
</p:properties>
</file>

<file path=customXml/itemProps1.xml><?xml version="1.0" encoding="utf-8"?>
<ds:datastoreItem xmlns:ds="http://schemas.openxmlformats.org/officeDocument/2006/customXml" ds:itemID="{516ACEA3-D08A-48CA-9F82-F2179B55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16D47502-E63F-4820-83BA-E3E11BB86A3D}">
  <ds:schemaRefs>
    <ds:schemaRef ds:uri="http://schemas.openxmlformats.org/officeDocument/2006/bibliography"/>
  </ds:schemaRefs>
</ds:datastoreItem>
</file>

<file path=customXml/itemProps4.xml><?xml version="1.0" encoding="utf-8"?>
<ds:datastoreItem xmlns:ds="http://schemas.openxmlformats.org/officeDocument/2006/customXml" ds:itemID="{8F3106A2-5F23-4880-AF74-5D4B8BB27109}">
  <ds:schemaRefs>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http://schemas.microsoft.com/office/2006/documentManagement/types"/>
    <ds:schemaRef ds:uri="http://purl.org/dc/dcmitype/"/>
    <ds:schemaRef ds:uri="a4001f1c-9a82-435c-9063-b0d0cae81f9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Links>
    <vt:vector size="156" baseType="variant">
      <vt:variant>
        <vt:i4>6029405</vt:i4>
      </vt:variant>
      <vt:variant>
        <vt:i4>72</vt:i4>
      </vt:variant>
      <vt:variant>
        <vt:i4>0</vt:i4>
      </vt:variant>
      <vt:variant>
        <vt:i4>5</vt:i4>
      </vt:variant>
      <vt:variant>
        <vt:lpwstr>http://sramedia.s3.amazonaws.com/media/documents/2e26bde5-cfaf-451a-b87c-893937fc35fd.pdf</vt:lpwstr>
      </vt:variant>
      <vt:variant>
        <vt:lpwstr/>
      </vt:variant>
      <vt:variant>
        <vt:i4>7929974</vt:i4>
      </vt:variant>
      <vt:variant>
        <vt:i4>69</vt:i4>
      </vt:variant>
      <vt:variant>
        <vt:i4>0</vt:i4>
      </vt:variant>
      <vt:variant>
        <vt:i4>5</vt:i4>
      </vt:variant>
      <vt:variant>
        <vt:lpwstr>https://artsincriminaljustice.org.uk/evidence-library/</vt:lpwstr>
      </vt:variant>
      <vt:variant>
        <vt:lpwstr/>
      </vt:variant>
      <vt:variant>
        <vt:i4>7667714</vt:i4>
      </vt:variant>
      <vt:variant>
        <vt:i4>66</vt:i4>
      </vt:variant>
      <vt:variant>
        <vt:i4>0</vt:i4>
      </vt:variant>
      <vt:variant>
        <vt:i4>5</vt:i4>
      </vt:variant>
      <vt:variant>
        <vt:lpwstr>https://www.gov.uk/government/uploads/system/uploads/attachment_data/file/459470/prisoners-education-trust-report.pdf</vt:lpwstr>
      </vt:variant>
      <vt:variant>
        <vt:lpwstr/>
      </vt:variant>
      <vt:variant>
        <vt:i4>8061033</vt:i4>
      </vt:variant>
      <vt:variant>
        <vt:i4>63</vt:i4>
      </vt:variant>
      <vt:variant>
        <vt:i4>0</vt:i4>
      </vt:variant>
      <vt:variant>
        <vt:i4>5</vt:i4>
      </vt:variant>
      <vt:variant>
        <vt:lpwstr>http://artsevidence.org.uk/media/uploads/re-imagining-futures-research-report-final.pdf</vt:lpwstr>
      </vt:variant>
      <vt:variant>
        <vt:lpwstr/>
      </vt:variant>
      <vt:variant>
        <vt:i4>7667765</vt:i4>
      </vt:variant>
      <vt:variant>
        <vt:i4>60</vt:i4>
      </vt:variant>
      <vt:variant>
        <vt:i4>0</vt:i4>
      </vt:variant>
      <vt:variant>
        <vt:i4>5</vt:i4>
      </vt:variant>
      <vt:variant>
        <vt:lpwstr>https://www.local.gov.uk/case-studies/regeneration-community-burnholme-health-and-wellbeing-hub</vt:lpwstr>
      </vt:variant>
      <vt:variant>
        <vt:lpwstr/>
      </vt:variant>
      <vt:variant>
        <vt:i4>6291519</vt:i4>
      </vt:variant>
      <vt:variant>
        <vt:i4>57</vt:i4>
      </vt:variant>
      <vt:variant>
        <vt:i4>0</vt:i4>
      </vt:variant>
      <vt:variant>
        <vt:i4>5</vt:i4>
      </vt:variant>
      <vt:variant>
        <vt:lpwstr>https://www.bennettinstitute.cam.ac.uk/publications/social-infrastructure/</vt:lpwstr>
      </vt:variant>
      <vt:variant>
        <vt:lpwstr/>
      </vt:variant>
      <vt:variant>
        <vt:i4>7536765</vt:i4>
      </vt:variant>
      <vt:variant>
        <vt:i4>54</vt:i4>
      </vt:variant>
      <vt:variant>
        <vt:i4>0</vt:i4>
      </vt:variant>
      <vt:variant>
        <vt:i4>5</vt:i4>
      </vt:variant>
      <vt:variant>
        <vt:lpwstr>https://www.cyclinguk.org/community-outreach/health</vt:lpwstr>
      </vt:variant>
      <vt:variant>
        <vt:lpwstr/>
      </vt:variant>
      <vt:variant>
        <vt:i4>4849730</vt:i4>
      </vt:variant>
      <vt:variant>
        <vt:i4>51</vt:i4>
      </vt:variant>
      <vt:variant>
        <vt:i4>0</vt:i4>
      </vt:variant>
      <vt:variant>
        <vt:i4>5</vt:i4>
      </vt:variant>
      <vt:variant>
        <vt:lpwstr>https://whatworkswellbeing.org/wp-content/uploads/2020/01/heritage-briefing-20-MARCH.pdf</vt:lpwstr>
      </vt:variant>
      <vt:variant>
        <vt:lpwstr/>
      </vt:variant>
      <vt:variant>
        <vt:i4>4915295</vt:i4>
      </vt:variant>
      <vt:variant>
        <vt:i4>48</vt:i4>
      </vt:variant>
      <vt:variant>
        <vt:i4>0</vt:i4>
      </vt:variant>
      <vt:variant>
        <vt:i4>5</vt:i4>
      </vt:variant>
      <vt:variant>
        <vt:lpwstr>https://readingagency.org.uk/news/media/new-survey-reveals-reading-groups-offer-insight-into-different-cultures.html</vt:lpwstr>
      </vt:variant>
      <vt:variant>
        <vt:lpwstr/>
      </vt:variant>
      <vt:variant>
        <vt:i4>1703964</vt:i4>
      </vt:variant>
      <vt:variant>
        <vt:i4>45</vt:i4>
      </vt:variant>
      <vt:variant>
        <vt:i4>0</vt:i4>
      </vt:variant>
      <vt:variant>
        <vt:i4>5</vt:i4>
      </vt:variant>
      <vt:variant>
        <vt:lpwstr>https://academic.oup.com/eurpub/article/28/3/404/4866827</vt:lpwstr>
      </vt:variant>
      <vt:variant>
        <vt:lpwstr/>
      </vt:variant>
      <vt:variant>
        <vt:i4>6029405</vt:i4>
      </vt:variant>
      <vt:variant>
        <vt:i4>42</vt:i4>
      </vt:variant>
      <vt:variant>
        <vt:i4>0</vt:i4>
      </vt:variant>
      <vt:variant>
        <vt:i4>5</vt:i4>
      </vt:variant>
      <vt:variant>
        <vt:lpwstr>http://sramedia.s3.amazonaws.com/media/documents/2e26bde5-cfaf-451a-b87c-893937fc35fd.pdf</vt:lpwstr>
      </vt:variant>
      <vt:variant>
        <vt:lpwstr/>
      </vt:variant>
      <vt:variant>
        <vt:i4>6357118</vt:i4>
      </vt:variant>
      <vt:variant>
        <vt:i4>39</vt:i4>
      </vt:variant>
      <vt:variant>
        <vt:i4>0</vt:i4>
      </vt:variant>
      <vt:variant>
        <vt:i4>5</vt:i4>
      </vt:variant>
      <vt:variant>
        <vt:lpwstr>https://www.varotherham.org.uk/evaluation/</vt:lpwstr>
      </vt:variant>
      <vt:variant>
        <vt:lpwstr/>
      </vt:variant>
      <vt:variant>
        <vt:i4>5505043</vt:i4>
      </vt:variant>
      <vt:variant>
        <vt:i4>36</vt:i4>
      </vt:variant>
      <vt:variant>
        <vt:i4>0</vt:i4>
      </vt:variant>
      <vt:variant>
        <vt:i4>5</vt:i4>
      </vt:variant>
      <vt:variant>
        <vt:lpwstr>https://journals.scholarpublishing.org/index.php/ASSRJ/article/view/1889</vt:lpwstr>
      </vt:variant>
      <vt:variant>
        <vt:lpwstr/>
      </vt:variant>
      <vt:variant>
        <vt:i4>1245243</vt:i4>
      </vt:variant>
      <vt:variant>
        <vt:i4>33</vt:i4>
      </vt:variant>
      <vt:variant>
        <vt:i4>0</vt:i4>
      </vt:variant>
      <vt:variant>
        <vt:i4>5</vt:i4>
      </vt:variant>
      <vt:variant>
        <vt:lpwstr>https://www.culturehealthandwellbeing.org.uk/appg-inquiry/Publications/Creative_Health_Inquiry_Report_2017_-_Second_Edition.pdf</vt:lpwstr>
      </vt:variant>
      <vt:variant>
        <vt:lpwstr/>
      </vt:variant>
      <vt:variant>
        <vt:i4>7536765</vt:i4>
      </vt:variant>
      <vt:variant>
        <vt:i4>30</vt:i4>
      </vt:variant>
      <vt:variant>
        <vt:i4>0</vt:i4>
      </vt:variant>
      <vt:variant>
        <vt:i4>5</vt:i4>
      </vt:variant>
      <vt:variant>
        <vt:lpwstr>https://www.swimming.org/swimengland/swim-census-2018-workforce-learn-swim-statistics/</vt:lpwstr>
      </vt:variant>
      <vt:variant>
        <vt:lpwstr/>
      </vt:variant>
      <vt:variant>
        <vt:i4>8257655</vt:i4>
      </vt:variant>
      <vt:variant>
        <vt:i4>27</vt:i4>
      </vt:variant>
      <vt:variant>
        <vt:i4>0</vt:i4>
      </vt:variant>
      <vt:variant>
        <vt:i4>5</vt:i4>
      </vt:variant>
      <vt:variant>
        <vt:lpwstr>https://www.economicmodelling.co.uk/wp-content/uploads/2021/02/cimspa-workforce-insight-report.pdf</vt:lpwstr>
      </vt:variant>
      <vt:variant>
        <vt:lpwstr/>
      </vt:variant>
      <vt:variant>
        <vt:i4>3866674</vt:i4>
      </vt:variant>
      <vt:variant>
        <vt:i4>24</vt:i4>
      </vt:variant>
      <vt:variant>
        <vt:i4>0</vt:i4>
      </vt:variant>
      <vt:variant>
        <vt:i4>5</vt:i4>
      </vt:variant>
      <vt:variant>
        <vt:lpwstr>https://www.bl.uk/business-and-ip-centre/about</vt:lpwstr>
      </vt:variant>
      <vt:variant>
        <vt:lpwstr/>
      </vt:variant>
      <vt:variant>
        <vt:i4>5439496</vt:i4>
      </vt:variant>
      <vt:variant>
        <vt:i4>21</vt:i4>
      </vt:variant>
      <vt:variant>
        <vt:i4>0</vt:i4>
      </vt:variant>
      <vt:variant>
        <vt:i4>5</vt:i4>
      </vt:variant>
      <vt:variant>
        <vt:lpwstr>https://www.pec.ac.uk/assets/publications/PEC-Creative-Radar-report-November-2020.pdf</vt:lpwstr>
      </vt:variant>
      <vt:variant>
        <vt:lpwstr/>
      </vt:variant>
      <vt:variant>
        <vt:i4>7864426</vt:i4>
      </vt:variant>
      <vt:variant>
        <vt:i4>18</vt:i4>
      </vt:variant>
      <vt:variant>
        <vt:i4>0</vt:i4>
      </vt:variant>
      <vt:variant>
        <vt:i4>5</vt:i4>
      </vt:variant>
      <vt:variant>
        <vt:lpwstr>https://media.nesta.org.uk/documents/Creativity_and_the_Future_of_Skills_v6.pdf</vt:lpwstr>
      </vt:variant>
      <vt:variant>
        <vt:lpwstr/>
      </vt:variant>
      <vt:variant>
        <vt:i4>2490418</vt:i4>
      </vt:variant>
      <vt:variant>
        <vt:i4>15</vt:i4>
      </vt:variant>
      <vt:variant>
        <vt:i4>0</vt:i4>
      </vt:variant>
      <vt:variant>
        <vt:i4>5</vt:i4>
      </vt:variant>
      <vt:variant>
        <vt:lpwstr>https://www.creativeindustriesfederation.com/statistics</vt:lpwstr>
      </vt:variant>
      <vt:variant>
        <vt:lpwstr/>
      </vt:variant>
      <vt:variant>
        <vt:i4>4980827</vt:i4>
      </vt:variant>
      <vt:variant>
        <vt:i4>12</vt:i4>
      </vt:variant>
      <vt:variant>
        <vt:i4>0</vt:i4>
      </vt:variant>
      <vt:variant>
        <vt:i4>5</vt:i4>
      </vt:variant>
      <vt:variant>
        <vt:lpwstr>http://c//Users/samanthara/Downloads/Impact of Coronavirus on School Swimming and Water Safety report (3).pdf</vt:lpwstr>
      </vt:variant>
      <vt:variant>
        <vt:lpwstr/>
      </vt:variant>
      <vt:variant>
        <vt:i4>2556017</vt:i4>
      </vt:variant>
      <vt:variant>
        <vt:i4>9</vt:i4>
      </vt:variant>
      <vt:variant>
        <vt:i4>0</vt:i4>
      </vt:variant>
      <vt:variant>
        <vt:i4>5</vt:i4>
      </vt:variant>
      <vt:variant>
        <vt:lpwstr>https://www.local.gov.uk/parliament/briefings-and-responses/levelling-white-paper-lga-briefing</vt:lpwstr>
      </vt:variant>
      <vt:variant>
        <vt:lpwstr/>
      </vt:variant>
      <vt:variant>
        <vt:i4>1310744</vt:i4>
      </vt:variant>
      <vt:variant>
        <vt:i4>6</vt:i4>
      </vt:variant>
      <vt:variant>
        <vt:i4>0</vt:i4>
      </vt:variant>
      <vt:variant>
        <vt:i4>5</vt:i4>
      </vt:variant>
      <vt:variant>
        <vt:lpwstr>https://www.gov.uk/government/publications/uk-shared-prosperity-fund-pre-launch-guidance</vt:lpwstr>
      </vt:variant>
      <vt:variant>
        <vt:lpwstr/>
      </vt:variant>
      <vt:variant>
        <vt:i4>7733365</vt:i4>
      </vt:variant>
      <vt:variant>
        <vt:i4>3</vt:i4>
      </vt:variant>
      <vt:variant>
        <vt:i4>0</vt:i4>
      </vt:variant>
      <vt:variant>
        <vt:i4>5</vt:i4>
      </vt:variant>
      <vt:variant>
        <vt:lpwstr>https://assets.publishing.service.gov.uk/government/uploads/system/uploads/attachment_data/file/1054766/Technical_annex_-_missions_and_metrics.pdf</vt:lpwstr>
      </vt:variant>
      <vt:variant>
        <vt:lpwstr/>
      </vt:variant>
      <vt:variant>
        <vt:i4>2621495</vt:i4>
      </vt:variant>
      <vt:variant>
        <vt:i4>0</vt:i4>
      </vt:variant>
      <vt:variant>
        <vt:i4>0</vt:i4>
      </vt:variant>
      <vt:variant>
        <vt:i4>5</vt:i4>
      </vt:variant>
      <vt:variant>
        <vt:lpwstr>https://www.gov.uk/government/publications/levelling-up-the-united-kingdom</vt:lpwstr>
      </vt:variant>
      <vt:variant>
        <vt:lpwstr/>
      </vt:variant>
      <vt:variant>
        <vt:i4>917557</vt:i4>
      </vt:variant>
      <vt:variant>
        <vt:i4>0</vt:i4>
      </vt:variant>
      <vt:variant>
        <vt:i4>0</vt:i4>
      </vt:variant>
      <vt:variant>
        <vt:i4>5</vt:i4>
      </vt:variant>
      <vt:variant>
        <vt:lpwstr>mailto:Ian.Leete@local.gov.uk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Emma West</cp:lastModifiedBy>
  <cp:revision>355</cp:revision>
  <dcterms:created xsi:type="dcterms:W3CDTF">2022-03-03T22:40:00Z</dcterms:created>
  <dcterms:modified xsi:type="dcterms:W3CDTF">2022-03-11T10:28:00Z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